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объединению программы субсидирования процентной ставки (Программа 1764) и программы стимулирования кредитования АО «Корпорация МСП»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16.08.2022 №1420 запущена новая программа льготного кредитования.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за счет совмещения двух ранее действовавших программ: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«Программа 1764» - реализуемая Минэкономразвития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механизм субсидирования банкам части процентной ставки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«ПСК Инвестиционная»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(Программа стимулирования кредитования)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реализуемая АО «Корпорация МСП» и Центральным Банком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льготное фондирование банков.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кредитования</w:t>
      </w:r>
      <w:r>
        <w:rPr>
          <w:rFonts w:ascii="Times New Roman" w:eastAsia="Times New Roman" w:hAnsi="Times New Roman" w:cs="Times New Roman"/>
          <w:sz w:val="28"/>
          <w:szCs w:val="28"/>
        </w:rPr>
        <w:t>: Инвестиционные цели - приобретение (сооружение, изготовление, достройка, дооборудование, реконструкция, модернизация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Процентные ставки: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3,0 %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для среднего бизнеса;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4,5%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малого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кредита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до 10 лет, из которых льготный период до 5 лет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 ставкам 3-4,5% в течение первых трех лет, по ставке ключ ЦБ +2.75 последующие два года)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Сумма кредита</w:t>
      </w:r>
      <w:r>
        <w:rPr>
          <w:rFonts w:ascii="Times New Roman" w:eastAsia="Times New Roman" w:hAnsi="Times New Roman" w:cs="Times New Roman"/>
          <w:sz w:val="28"/>
          <w:szCs w:val="28"/>
        </w:rPr>
        <w:t>: от 50 млн до 1 млрд рублей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Категория получателей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Перечень отраслей утвержден АО «Корпорация МСП»)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субъекты МСП осуществляющие деятельность по основному ОКВЭД в приоритетных отраслях: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Обрабатывающего производства, в том числе производство пищевых продуктов, первичная и последующая (промышленная) переработка сельскохозяйственной продукции, 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Транспортировки и хранения,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Деятельности гостиниц и предприятий общественного питания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Обрабатывающее производство – 24 класса по ОКВЭД (в РТ 11 082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Транспортировка и хранение – 1 класс по ОКВЭД (в РТ 1964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Деятельность гостиниц и предприятий общественного питания – 1 класс по ОКВЭД (в РТ 521 субъект МСП)</w:t>
      </w:r>
    </w:p>
    <w:p w:rsidR="00692BFE" w:rsidRDefault="00692BF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Лимит по программе: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50 млрд рублей до конца 2022 года.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Банки участники: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к участию в </w:t>
      </w:r>
      <w:r w:rsidR="002E7494">
        <w:rPr>
          <w:rFonts w:ascii="Times New Roman" w:eastAsia="Times New Roman" w:hAnsi="Times New Roman" w:cs="Times New Roman"/>
          <w:sz w:val="28"/>
          <w:szCs w:val="28"/>
        </w:rPr>
        <w:t>программе отобрано 48</w:t>
      </w:r>
      <w:r w:rsidR="00C66B5A">
        <w:rPr>
          <w:rFonts w:ascii="Times New Roman" w:eastAsia="Times New Roman" w:hAnsi="Times New Roman" w:cs="Times New Roman"/>
          <w:sz w:val="28"/>
          <w:szCs w:val="28"/>
        </w:rPr>
        <w:t xml:space="preserve"> банков, 1</w:t>
      </w:r>
      <w:r w:rsidR="00C66B5A" w:rsidRPr="00C66B5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 представлены в Республике Татарстан:</w:t>
      </w:r>
    </w:p>
    <w:tbl>
      <w:tblPr>
        <w:tblStyle w:val="a5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3"/>
        <w:gridCol w:w="5073"/>
      </w:tblGrid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СБЕРБАНК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МСП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ВТБ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КБЭР БАНК КАЗАНИ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ПРОМСВЯЗЬБАНК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 БАРС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ФК ОТКРЫТИЕ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АКИБАНК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РОССЕЛЬХОЗБАНК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ЗЕНИТ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ГПБ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МТС-БАНК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РАЙФФАЙЗЕНБАНК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СМП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ДОМ.РФ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КАМКОМБАНК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ИНТЕЗА</w:t>
            </w:r>
          </w:p>
        </w:tc>
        <w:tc>
          <w:tcPr>
            <w:tcW w:w="5073" w:type="dxa"/>
          </w:tcPr>
          <w:p w:rsidR="00692BFE" w:rsidRPr="006C42C2" w:rsidRDefault="006C42C2">
            <w:pPr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F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ЭНЕРГОБАНК</w:t>
            </w:r>
          </w:p>
        </w:tc>
      </w:tr>
    </w:tbl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Кредитными организациями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течении одного месяца будут разработаны соответствующие продукты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начнется работа по приему заявок от предпринимателей.</w:t>
      </w:r>
    </w:p>
    <w:p w:rsidR="00692BFE" w:rsidRDefault="00692BFE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новой кредитной программе доведена до муниципальных образований Республики Татарстан в рамках заседания рабочей группы по обеспечению устойчивого развития экономики Республики Татарстан, а также размещена в социальных сетях и СМИ.</w:t>
      </w:r>
    </w:p>
    <w:p w:rsidR="00692BFE" w:rsidRDefault="006C42C2">
      <w:pPr>
        <w:spacing w:after="120" w:line="240" w:lineRule="auto"/>
        <w:ind w:left="226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Постановлением также внесены изменения в Программу 1764: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Зафиксирована ставка кредитования по инвестиционным кредитам и кредитам на пополнение оборотных средств, в размере не более 12,25%, ранее она рассчитывалась как ключевая ЦБ РФ + 2,75% (8%+2,75%=11,75%).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кредитам на развитие предпринимательской деятельности (до 10 млн руб. без целевого использования) ставки зафиксированы в размере 13,25% годовых, ранее она рассчитывалась как ключевая ЦБ РФ + 3,5% (8%+3,5%=11,5%).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Разрешено заключать кредитные соглашения на пополнение оборотных средств сроком до 3-х лет (ранее только до 1 года, при этом срок предоставления субсидии составляет 1 год).</w:t>
      </w:r>
    </w:p>
    <w:p w:rsidR="00692BFE" w:rsidRDefault="00692BFE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6"/>
        <w:tblW w:w="10480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2602"/>
        <w:gridCol w:w="1399"/>
        <w:gridCol w:w="4595"/>
        <w:gridCol w:w="1884"/>
      </w:tblGrid>
      <w:tr w:rsidR="00692BFE">
        <w:trPr>
          <w:trHeight w:val="1155"/>
        </w:trPr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количество субъектов МСП по состоянию на 10.08.2022 в соответствии с Перечнем приоритетных отраслей (видов деятельности)</w:t>
            </w:r>
          </w:p>
        </w:tc>
      </w:tr>
      <w:tr w:rsidR="00692BFE">
        <w:trPr>
          <w:trHeight w:val="15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деятельности в соответствии с Правилами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Номер класса по ОКВЭД2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класса ОКВЭД2 (включает все входящие в класс группы, если не указано иное)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МСП на 10.08.2022 </w:t>
            </w:r>
          </w:p>
        </w:tc>
      </w:tr>
      <w:tr w:rsidR="00692BFE">
        <w:trPr>
          <w:trHeight w:val="300"/>
        </w:trPr>
        <w:tc>
          <w:tcPr>
            <w:tcW w:w="260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импортозамещения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несырьевого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пищевых продуктов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солода.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текстильных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одежды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кожи и изделий из кожи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692BFE">
        <w:trPr>
          <w:trHeight w:val="9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бумаги и бумажных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кокса и нефтепродуктов (за исключением подкласса 19.2, группы 19.20, подгрупп 19.20.1, 19.20.2, 19.20.9)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химических веществ и химических продуктов (за исключением группы 20.14, подгрупп 20.14.1, 20.14.2)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резиновых и пластмассовых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металлургическое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1961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компьютеров, электронных и оптических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автотранспортных средств, прицепов и полуприцепов (за исключением подкласса 29.1, группы 29.10, подгруппы 29.10.2)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прочих транспортных средств и оборудования (за исключением группы 30.91)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мебели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прочих готовых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 и монтаж машин и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</w:tr>
      <w:tr w:rsidR="00692BFE">
        <w:trPr>
          <w:trHeight w:val="3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Транспортировка и хранение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</w:tr>
      <w:tr w:rsidR="00692BFE">
        <w:trPr>
          <w:trHeight w:val="6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</w:tr>
      <w:tr w:rsidR="00692BFE">
        <w:trPr>
          <w:trHeight w:val="315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13567</w:t>
            </w:r>
          </w:p>
        </w:tc>
      </w:tr>
    </w:tbl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92BFE">
      <w:pgSz w:w="11906" w:h="16838"/>
      <w:pgMar w:top="1560" w:right="566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6D1E"/>
    <w:multiLevelType w:val="multilevel"/>
    <w:tmpl w:val="DB72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163F"/>
    <w:multiLevelType w:val="multilevel"/>
    <w:tmpl w:val="56ECFB1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FE"/>
    <w:rsid w:val="002E7494"/>
    <w:rsid w:val="00692BFE"/>
    <w:rsid w:val="006C42C2"/>
    <w:rsid w:val="00873865"/>
    <w:rsid w:val="00BF5FDA"/>
    <w:rsid w:val="00C66B5A"/>
    <w:rsid w:val="00D8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0B90F-925B-4F06-B3B5-42EB8370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C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Симашева</dc:creator>
  <cp:lastModifiedBy>Секретарь</cp:lastModifiedBy>
  <cp:revision>2</cp:revision>
  <dcterms:created xsi:type="dcterms:W3CDTF">2022-09-05T12:17:00Z</dcterms:created>
  <dcterms:modified xsi:type="dcterms:W3CDTF">2022-09-05T12:17:00Z</dcterms:modified>
</cp:coreProperties>
</file>