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821" w:rsidRPr="00AB3821" w:rsidRDefault="00AB3821" w:rsidP="00AB3821">
      <w:pPr>
        <w:spacing w:after="0" w:line="240" w:lineRule="auto"/>
        <w:ind w:firstLine="709"/>
        <w:jc w:val="center"/>
        <w:rPr>
          <w:rFonts w:ascii="Times New Roman" w:eastAsia="Times New Roman" w:hAnsi="Times New Roman" w:cs="Times New Roman"/>
          <w:b/>
          <w:color w:val="C00000"/>
          <w:sz w:val="48"/>
          <w:szCs w:val="48"/>
          <w:lang w:eastAsia="ru-RU"/>
        </w:rPr>
      </w:pPr>
      <w:bookmarkStart w:id="0" w:name="OLE_LINK5"/>
      <w:bookmarkStart w:id="1" w:name="OLE_LINK6"/>
      <w:r w:rsidRPr="00AB3821">
        <w:rPr>
          <w:rFonts w:ascii="Times New Roman" w:eastAsia="Times New Roman" w:hAnsi="Times New Roman" w:cs="Times New Roman"/>
          <w:b/>
          <w:color w:val="C00000"/>
          <w:sz w:val="48"/>
          <w:szCs w:val="48"/>
          <w:lang w:eastAsia="ru-RU"/>
        </w:rPr>
        <w:t>ДЕБЕТОВАЯ КАРТА С ОВЕРДРАФТОМ</w:t>
      </w:r>
    </w:p>
    <w:bookmarkEnd w:id="0"/>
    <w:bookmarkEnd w:id="1"/>
    <w:p w:rsidR="00AB3821" w:rsidRPr="00AB3821" w:rsidRDefault="00AB3821" w:rsidP="00AB3821">
      <w:pPr>
        <w:spacing w:after="0" w:line="240" w:lineRule="auto"/>
        <w:ind w:firstLine="709"/>
        <w:jc w:val="both"/>
        <w:rPr>
          <w:rFonts w:ascii="Times New Roman" w:eastAsia="Times New Roman" w:hAnsi="Times New Roman" w:cs="Times New Roman"/>
          <w:sz w:val="28"/>
          <w:szCs w:val="28"/>
          <w:lang w:eastAsia="ru-RU"/>
        </w:rPr>
      </w:pPr>
    </w:p>
    <w:p w:rsidR="00AB3821" w:rsidRPr="00AB3821" w:rsidRDefault="00AB3821" w:rsidP="00AB3821">
      <w:pPr>
        <w:spacing w:after="0" w:line="240" w:lineRule="auto"/>
        <w:ind w:firstLine="709"/>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margin">
              <wp:posOffset>19050</wp:posOffset>
            </wp:positionH>
            <wp:positionV relativeFrom="paragraph">
              <wp:posOffset>9525</wp:posOffset>
            </wp:positionV>
            <wp:extent cx="2386330" cy="1924050"/>
            <wp:effectExtent l="0" t="0" r="0" b="0"/>
            <wp:wrapTight wrapText="bothSides">
              <wp:wrapPolygon edited="0">
                <wp:start x="0" y="0"/>
                <wp:lineTo x="0" y="21386"/>
                <wp:lineTo x="21382" y="21386"/>
                <wp:lineTo x="21382" y="0"/>
                <wp:lineTo x="0" y="0"/>
              </wp:wrapPolygon>
            </wp:wrapTight>
            <wp:docPr id="1" name="Рисунок 1" descr="ÐÐ°ÑÑÐ¸Ð½ÐºÐ¸ Ð¿Ð¾ Ð·Ð°Ð¿ÑÐ¾ÑÑ Ð´ÐµÐ±ÐµÑÐ¾Ð²Ð°Ñ ÐºÐ°ÑÑÐ° Ñ Ð¾Ð²ÐµÑÐ´ÑÐ°ÑÑÐ¾Ð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ÐÐ°ÑÑÐ¸Ð½ÐºÐ¸ Ð¿Ð¾ Ð·Ð°Ð¿ÑÐ¾ÑÑ Ð´ÐµÐ±ÐµÑÐ¾Ð²Ð°Ñ ÐºÐ°ÑÑÐ° Ñ Ð¾Ð²ÐµÑÐ´ÑÐ°ÑÑÐ¾Ð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633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821">
        <w:rPr>
          <w:rFonts w:ascii="Times New Roman" w:eastAsia="Times New Roman" w:hAnsi="Times New Roman" w:cs="Times New Roman"/>
          <w:sz w:val="28"/>
          <w:szCs w:val="28"/>
          <w:lang w:eastAsia="ru-RU"/>
        </w:rPr>
        <w:t>Многие из нас пользуются дебетовыми картами, поскольку это очень удобно. Однако держатели карт даже не догадываются, что у них не просто дебетовая карта, а карта с овердрафтом. В данной статье мы постараемся разъяснить, что же такое дебетовая карта с овердрафтом, и для чего он нужен.</w:t>
      </w:r>
    </w:p>
    <w:p w:rsidR="00AB3821" w:rsidRPr="00AB3821" w:rsidRDefault="00AB3821" w:rsidP="00AB3821">
      <w:pPr>
        <w:spacing w:after="0" w:line="240" w:lineRule="auto"/>
        <w:ind w:firstLine="709"/>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 xml:space="preserve">Согласно п.1.5 главы 1 Положения Банка России от 24 декабря </w:t>
      </w:r>
      <w:smartTag w:uri="urn:schemas-microsoft-com:office:smarttags" w:element="metricconverter">
        <w:smartTagPr>
          <w:attr w:name="ProductID" w:val="2004 г"/>
        </w:smartTagPr>
        <w:r w:rsidRPr="00AB3821">
          <w:rPr>
            <w:rFonts w:ascii="Times New Roman" w:eastAsia="Times New Roman" w:hAnsi="Times New Roman" w:cs="Times New Roman"/>
            <w:sz w:val="28"/>
            <w:szCs w:val="28"/>
            <w:lang w:eastAsia="ru-RU"/>
          </w:rPr>
          <w:t>2004 г</w:t>
        </w:r>
      </w:smartTag>
      <w:r w:rsidRPr="00AB3821">
        <w:rPr>
          <w:rFonts w:ascii="Times New Roman" w:eastAsia="Times New Roman" w:hAnsi="Times New Roman" w:cs="Times New Roman"/>
          <w:sz w:val="28"/>
          <w:szCs w:val="28"/>
          <w:lang w:eastAsia="ru-RU"/>
        </w:rPr>
        <w:t xml:space="preserve">. N 266-П «Об эмиссии платежных карт и об операциях, совершаемых с их использованием» расчетная </w:t>
      </w:r>
      <w:r w:rsidRPr="00AB3821">
        <w:rPr>
          <w:rFonts w:ascii="Times New Roman" w:eastAsia="Times New Roman" w:hAnsi="Times New Roman" w:cs="Times New Roman"/>
          <w:b/>
          <w:sz w:val="28"/>
          <w:szCs w:val="28"/>
          <w:lang w:eastAsia="ru-RU"/>
        </w:rPr>
        <w:t>(дебетовая)</w:t>
      </w:r>
      <w:r w:rsidRPr="00AB3821">
        <w:rPr>
          <w:rFonts w:ascii="Times New Roman" w:eastAsia="Times New Roman" w:hAnsi="Times New Roman" w:cs="Times New Roman"/>
          <w:sz w:val="28"/>
          <w:szCs w:val="28"/>
          <w:lang w:eastAsia="ru-RU"/>
        </w:rPr>
        <w:t xml:space="preserve"> карта - электронное средство платежа, которое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организацией-эмитентом клиенту при недостаточности или отсутствии на банковском счете денежных средств </w:t>
      </w:r>
      <w:r w:rsidRPr="00AB3821">
        <w:rPr>
          <w:rFonts w:ascii="Times New Roman" w:eastAsia="Times New Roman" w:hAnsi="Times New Roman" w:cs="Times New Roman"/>
          <w:b/>
          <w:sz w:val="28"/>
          <w:szCs w:val="28"/>
          <w:lang w:eastAsia="ru-RU"/>
        </w:rPr>
        <w:t>(овердрафт)</w:t>
      </w:r>
      <w:r w:rsidRPr="00AB3821">
        <w:rPr>
          <w:rFonts w:ascii="Times New Roman" w:eastAsia="Times New Roman" w:hAnsi="Times New Roman" w:cs="Times New Roman"/>
          <w:sz w:val="28"/>
          <w:szCs w:val="28"/>
          <w:lang w:eastAsia="ru-RU"/>
        </w:rPr>
        <w:t>.</w:t>
      </w:r>
    </w:p>
    <w:p w:rsidR="00AB3821" w:rsidRPr="00AB3821" w:rsidRDefault="00AB3821" w:rsidP="00AB3821">
      <w:pPr>
        <w:spacing w:after="0" w:line="240" w:lineRule="auto"/>
        <w:ind w:firstLine="709"/>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Как правило, дебетовые карты привязаны к счетам, на которые поступают регулярные платежи: пенсии, стипендии, зарплаты. В последнем случае карты называются зарплатными. Дебетовые карты также часто называют расчетными, потому что они привязаны к расчетным банковским счетам.</w:t>
      </w:r>
    </w:p>
    <w:p w:rsidR="00AB3821" w:rsidRPr="00AB3821" w:rsidRDefault="00AB3821" w:rsidP="00AB3821">
      <w:pPr>
        <w:spacing w:after="0" w:line="240" w:lineRule="auto"/>
        <w:ind w:firstLine="709"/>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 xml:space="preserve">Оборот средств на счетах дебетовых карт (в том числе зарплатных) гарантируется Федеральным законом от 23 декабря </w:t>
      </w:r>
      <w:smartTag w:uri="urn:schemas-microsoft-com:office:smarttags" w:element="metricconverter">
        <w:smartTagPr>
          <w:attr w:name="ProductID" w:val="2003 г"/>
        </w:smartTagPr>
        <w:r w:rsidRPr="00AB3821">
          <w:rPr>
            <w:rFonts w:ascii="Times New Roman" w:eastAsia="Times New Roman" w:hAnsi="Times New Roman" w:cs="Times New Roman"/>
            <w:sz w:val="28"/>
            <w:szCs w:val="28"/>
            <w:lang w:eastAsia="ru-RU"/>
          </w:rPr>
          <w:t>2003 г</w:t>
        </w:r>
      </w:smartTag>
      <w:r w:rsidRPr="00AB3821">
        <w:rPr>
          <w:rFonts w:ascii="Times New Roman" w:eastAsia="Times New Roman" w:hAnsi="Times New Roman" w:cs="Times New Roman"/>
          <w:sz w:val="28"/>
          <w:szCs w:val="28"/>
          <w:lang w:eastAsia="ru-RU"/>
        </w:rPr>
        <w:t>. N 177-ФЗ «О страховании вкладов физических лиц в банках Российской Федерации».</w:t>
      </w:r>
    </w:p>
    <w:p w:rsidR="00AB3821" w:rsidRPr="00AB3821" w:rsidRDefault="00AB3821" w:rsidP="00AB3821">
      <w:pPr>
        <w:spacing w:after="0" w:line="240" w:lineRule="auto"/>
        <w:ind w:firstLine="709"/>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Можно выделить следующие основные виды дебетовых карт:</w:t>
      </w:r>
    </w:p>
    <w:p w:rsidR="00AB3821" w:rsidRPr="00AB3821" w:rsidRDefault="00AB3821" w:rsidP="00AB3821">
      <w:pPr>
        <w:numPr>
          <w:ilvl w:val="0"/>
          <w:numId w:val="1"/>
        </w:numPr>
        <w:spacing w:after="0" w:line="240" w:lineRule="auto"/>
        <w:ind w:firstLine="709"/>
        <w:jc w:val="both"/>
        <w:rPr>
          <w:rFonts w:ascii="Times New Roman" w:eastAsia="Times New Roman" w:hAnsi="Times New Roman" w:cs="Times New Roman"/>
          <w:sz w:val="28"/>
          <w:szCs w:val="28"/>
        </w:rPr>
      </w:pPr>
      <w:r w:rsidRPr="00AB3821">
        <w:rPr>
          <w:rFonts w:ascii="Times New Roman" w:eastAsia="Times New Roman" w:hAnsi="Times New Roman" w:cs="Times New Roman"/>
          <w:sz w:val="28"/>
          <w:szCs w:val="28"/>
        </w:rPr>
        <w:t>без разрешенного овердрафта;</w:t>
      </w:r>
    </w:p>
    <w:p w:rsidR="00AB3821" w:rsidRPr="00AB3821" w:rsidRDefault="00AB3821" w:rsidP="00AB3821">
      <w:pPr>
        <w:numPr>
          <w:ilvl w:val="0"/>
          <w:numId w:val="1"/>
        </w:numPr>
        <w:spacing w:after="0" w:line="240" w:lineRule="auto"/>
        <w:ind w:firstLine="709"/>
        <w:jc w:val="both"/>
        <w:rPr>
          <w:rFonts w:ascii="Times New Roman" w:eastAsia="Times New Roman" w:hAnsi="Times New Roman" w:cs="Times New Roman"/>
          <w:sz w:val="28"/>
          <w:szCs w:val="28"/>
        </w:rPr>
      </w:pPr>
      <w:r w:rsidRPr="00AB3821">
        <w:rPr>
          <w:rFonts w:ascii="Times New Roman" w:eastAsia="Times New Roman" w:hAnsi="Times New Roman" w:cs="Times New Roman"/>
          <w:sz w:val="28"/>
          <w:szCs w:val="28"/>
        </w:rPr>
        <w:t>с разрешенным овердрафтом.</w:t>
      </w:r>
    </w:p>
    <w:p w:rsidR="00AB3821" w:rsidRPr="00AB3821" w:rsidRDefault="00AB3821" w:rsidP="00AB3821">
      <w:pPr>
        <w:spacing w:after="0" w:line="240" w:lineRule="auto"/>
        <w:ind w:firstLine="709"/>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b/>
          <w:sz w:val="28"/>
          <w:szCs w:val="28"/>
          <w:lang w:eastAsia="ru-RU"/>
        </w:rPr>
        <w:t>Овердрафт</w:t>
      </w:r>
      <w:r w:rsidRPr="00AB3821">
        <w:rPr>
          <w:rFonts w:ascii="Times New Roman" w:eastAsia="Times New Roman" w:hAnsi="Times New Roman" w:cs="Times New Roman"/>
          <w:sz w:val="28"/>
          <w:szCs w:val="28"/>
          <w:lang w:eastAsia="ru-RU"/>
        </w:rPr>
        <w:t xml:space="preserve"> — это краткосрочное кредитование счета, погашаемое из поступающих на него сумм. Овердрафт позволяет потратить или снять сумму, превосходящую остаток собственных средств на счете, к которому привязана карта. За пользование овердрафтом взимается плата согласно договору.</w:t>
      </w:r>
    </w:p>
    <w:p w:rsidR="00AB3821" w:rsidRPr="00AB3821" w:rsidRDefault="00AB3821" w:rsidP="00AB3821">
      <w:pPr>
        <w:spacing w:after="0" w:line="240" w:lineRule="auto"/>
        <w:ind w:firstLine="709"/>
        <w:jc w:val="both"/>
        <w:rPr>
          <w:rFonts w:ascii="Times New Roman" w:eastAsia="Times New Roman" w:hAnsi="Times New Roman" w:cs="Times New Roman"/>
          <w:b/>
          <w:sz w:val="28"/>
          <w:szCs w:val="28"/>
          <w:lang w:eastAsia="ru-RU"/>
        </w:rPr>
      </w:pPr>
      <w:r w:rsidRPr="00AB3821">
        <w:rPr>
          <w:rFonts w:ascii="Times New Roman" w:eastAsia="Times New Roman" w:hAnsi="Times New Roman" w:cs="Times New Roman"/>
          <w:b/>
          <w:sz w:val="28"/>
          <w:szCs w:val="28"/>
          <w:lang w:eastAsia="ru-RU"/>
        </w:rPr>
        <w:t>Чем отличается дебетовая карта с овердрафтом от кредитной карты?</w:t>
      </w:r>
    </w:p>
    <w:p w:rsidR="00AB3821" w:rsidRPr="00AB3821" w:rsidRDefault="00AB3821" w:rsidP="00AB3821">
      <w:pPr>
        <w:spacing w:after="0" w:line="240" w:lineRule="auto"/>
        <w:ind w:firstLine="709"/>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Дебетовая карта с овердрафтом во многом похожа на кредитную — обе позволяют использовать заемные средства.</w:t>
      </w:r>
    </w:p>
    <w:p w:rsidR="00AB3821" w:rsidRPr="00AB3821" w:rsidRDefault="00AB3821" w:rsidP="00AB3821">
      <w:pPr>
        <w:spacing w:after="0" w:line="240" w:lineRule="auto"/>
        <w:ind w:firstLine="709"/>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Кредитная карта подходит тем, кто готов регулярно пользоваться заемными средствами. Дебетовая карта с разрешенным овердрафтом — тем, кто планирует пользоваться заемными средствами изредка.</w:t>
      </w:r>
    </w:p>
    <w:p w:rsidR="00AB3821" w:rsidRPr="00AB3821" w:rsidRDefault="00AB3821" w:rsidP="00AB3821">
      <w:pPr>
        <w:spacing w:after="0" w:line="240" w:lineRule="auto"/>
        <w:ind w:firstLine="709"/>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Для более наглядного сравнения рассмотрим различия в виде таблицы:</w:t>
      </w:r>
    </w:p>
    <w:p w:rsidR="00AB3821" w:rsidRPr="00AB3821" w:rsidRDefault="00AB3821" w:rsidP="00AB3821">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1"/>
        <w:gridCol w:w="3118"/>
        <w:gridCol w:w="3096"/>
      </w:tblGrid>
      <w:tr w:rsidR="00AB3821" w:rsidRPr="00AB3821" w:rsidTr="001D2123">
        <w:tc>
          <w:tcPr>
            <w:tcW w:w="3351" w:type="dxa"/>
            <w:tcBorders>
              <w:top w:val="single" w:sz="4" w:space="0" w:color="auto"/>
              <w:left w:val="single" w:sz="4" w:space="0" w:color="auto"/>
              <w:bottom w:val="single" w:sz="4" w:space="0" w:color="auto"/>
              <w:right w:val="single" w:sz="4" w:space="0" w:color="auto"/>
            </w:tcBorders>
          </w:tcPr>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p>
        </w:tc>
        <w:tc>
          <w:tcPr>
            <w:tcW w:w="3352" w:type="dxa"/>
            <w:tcBorders>
              <w:top w:val="single" w:sz="4" w:space="0" w:color="auto"/>
              <w:left w:val="single" w:sz="4" w:space="0" w:color="auto"/>
              <w:bottom w:val="single" w:sz="4" w:space="0" w:color="auto"/>
              <w:right w:val="single" w:sz="4" w:space="0" w:color="auto"/>
            </w:tcBorders>
          </w:tcPr>
          <w:p w:rsidR="00AB3821" w:rsidRPr="00AB3821" w:rsidRDefault="00AB3821" w:rsidP="00AB3821">
            <w:pPr>
              <w:spacing w:after="0" w:line="240" w:lineRule="auto"/>
              <w:jc w:val="center"/>
              <w:rPr>
                <w:rFonts w:ascii="Times New Roman" w:eastAsia="Times New Roman" w:hAnsi="Times New Roman" w:cs="Times New Roman"/>
                <w:b/>
                <w:sz w:val="28"/>
                <w:szCs w:val="28"/>
                <w:lang w:eastAsia="ru-RU"/>
              </w:rPr>
            </w:pPr>
            <w:r w:rsidRPr="00AB3821">
              <w:rPr>
                <w:rFonts w:ascii="Times New Roman" w:eastAsia="Times New Roman" w:hAnsi="Times New Roman" w:cs="Times New Roman"/>
                <w:b/>
                <w:sz w:val="28"/>
                <w:szCs w:val="28"/>
                <w:lang w:eastAsia="ru-RU"/>
              </w:rPr>
              <w:t>Дебетовая карта</w:t>
            </w:r>
          </w:p>
          <w:p w:rsidR="00AB3821" w:rsidRPr="00AB3821" w:rsidRDefault="00AB3821" w:rsidP="00AB3821">
            <w:pPr>
              <w:spacing w:after="0" w:line="240" w:lineRule="auto"/>
              <w:jc w:val="center"/>
              <w:rPr>
                <w:rFonts w:ascii="Times New Roman" w:eastAsia="Times New Roman" w:hAnsi="Times New Roman" w:cs="Times New Roman"/>
                <w:b/>
                <w:sz w:val="28"/>
                <w:szCs w:val="28"/>
                <w:lang w:eastAsia="ru-RU"/>
              </w:rPr>
            </w:pPr>
            <w:r w:rsidRPr="00AB3821">
              <w:rPr>
                <w:rFonts w:ascii="Times New Roman" w:eastAsia="Times New Roman" w:hAnsi="Times New Roman" w:cs="Times New Roman"/>
                <w:b/>
                <w:sz w:val="28"/>
                <w:szCs w:val="28"/>
                <w:lang w:eastAsia="ru-RU"/>
              </w:rPr>
              <w:t>с овердрафтом</w:t>
            </w:r>
          </w:p>
        </w:tc>
        <w:tc>
          <w:tcPr>
            <w:tcW w:w="3352" w:type="dxa"/>
            <w:tcBorders>
              <w:top w:val="single" w:sz="4" w:space="0" w:color="auto"/>
              <w:left w:val="single" w:sz="4" w:space="0" w:color="auto"/>
              <w:bottom w:val="single" w:sz="4" w:space="0" w:color="auto"/>
              <w:right w:val="single" w:sz="4" w:space="0" w:color="auto"/>
            </w:tcBorders>
          </w:tcPr>
          <w:p w:rsidR="00AB3821" w:rsidRPr="00AB3821" w:rsidRDefault="00AB3821" w:rsidP="00AB3821">
            <w:pPr>
              <w:spacing w:after="0" w:line="240" w:lineRule="auto"/>
              <w:jc w:val="center"/>
              <w:rPr>
                <w:rFonts w:ascii="Times New Roman" w:eastAsia="Times New Roman" w:hAnsi="Times New Roman" w:cs="Times New Roman"/>
                <w:b/>
                <w:sz w:val="28"/>
                <w:szCs w:val="28"/>
                <w:lang w:eastAsia="ru-RU"/>
              </w:rPr>
            </w:pPr>
            <w:r w:rsidRPr="00AB3821">
              <w:rPr>
                <w:rFonts w:ascii="Times New Roman" w:eastAsia="Times New Roman" w:hAnsi="Times New Roman" w:cs="Times New Roman"/>
                <w:b/>
                <w:sz w:val="28"/>
                <w:szCs w:val="28"/>
                <w:lang w:eastAsia="ru-RU"/>
              </w:rPr>
              <w:t>Кредитная карта</w:t>
            </w:r>
          </w:p>
        </w:tc>
      </w:tr>
      <w:tr w:rsidR="00AB3821" w:rsidRPr="00AB3821" w:rsidTr="001D2123">
        <w:tc>
          <w:tcPr>
            <w:tcW w:w="3351" w:type="dxa"/>
            <w:tcBorders>
              <w:top w:val="single" w:sz="4" w:space="0" w:color="auto"/>
              <w:left w:val="single" w:sz="4" w:space="0" w:color="auto"/>
              <w:bottom w:val="single" w:sz="4" w:space="0" w:color="auto"/>
              <w:right w:val="single" w:sz="4" w:space="0" w:color="auto"/>
            </w:tcBorders>
          </w:tcPr>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Льготный (беспроцентный) период</w:t>
            </w:r>
          </w:p>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кредитования</w:t>
            </w:r>
          </w:p>
        </w:tc>
        <w:tc>
          <w:tcPr>
            <w:tcW w:w="3352" w:type="dxa"/>
            <w:tcBorders>
              <w:top w:val="single" w:sz="4" w:space="0" w:color="auto"/>
              <w:left w:val="single" w:sz="4" w:space="0" w:color="auto"/>
              <w:bottom w:val="single" w:sz="4" w:space="0" w:color="auto"/>
              <w:right w:val="single" w:sz="4" w:space="0" w:color="auto"/>
            </w:tcBorders>
          </w:tcPr>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Не предусмотрен</w:t>
            </w:r>
          </w:p>
        </w:tc>
        <w:tc>
          <w:tcPr>
            <w:tcW w:w="3352" w:type="dxa"/>
            <w:tcBorders>
              <w:top w:val="single" w:sz="4" w:space="0" w:color="auto"/>
              <w:left w:val="single" w:sz="4" w:space="0" w:color="auto"/>
              <w:bottom w:val="single" w:sz="4" w:space="0" w:color="auto"/>
              <w:right w:val="single" w:sz="4" w:space="0" w:color="auto"/>
            </w:tcBorders>
          </w:tcPr>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 xml:space="preserve">Предусмотрен </w:t>
            </w:r>
          </w:p>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p>
        </w:tc>
      </w:tr>
      <w:tr w:rsidR="00AB3821" w:rsidRPr="00AB3821" w:rsidTr="001D2123">
        <w:tc>
          <w:tcPr>
            <w:tcW w:w="3351" w:type="dxa"/>
            <w:tcBorders>
              <w:top w:val="single" w:sz="4" w:space="0" w:color="auto"/>
              <w:left w:val="single" w:sz="4" w:space="0" w:color="auto"/>
              <w:bottom w:val="single" w:sz="4" w:space="0" w:color="auto"/>
              <w:right w:val="single" w:sz="4" w:space="0" w:color="auto"/>
            </w:tcBorders>
          </w:tcPr>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Лимит кредитования</w:t>
            </w:r>
          </w:p>
        </w:tc>
        <w:tc>
          <w:tcPr>
            <w:tcW w:w="3352" w:type="dxa"/>
            <w:tcBorders>
              <w:top w:val="single" w:sz="4" w:space="0" w:color="auto"/>
              <w:left w:val="single" w:sz="4" w:space="0" w:color="auto"/>
              <w:bottom w:val="single" w:sz="4" w:space="0" w:color="auto"/>
              <w:right w:val="single" w:sz="4" w:space="0" w:color="auto"/>
            </w:tcBorders>
          </w:tcPr>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Как правило, не выше</w:t>
            </w:r>
          </w:p>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уровня среднемесячных поступлений</w:t>
            </w:r>
          </w:p>
        </w:tc>
        <w:tc>
          <w:tcPr>
            <w:tcW w:w="3352" w:type="dxa"/>
            <w:tcBorders>
              <w:top w:val="single" w:sz="4" w:space="0" w:color="auto"/>
              <w:left w:val="single" w:sz="4" w:space="0" w:color="auto"/>
              <w:bottom w:val="single" w:sz="4" w:space="0" w:color="auto"/>
              <w:right w:val="single" w:sz="4" w:space="0" w:color="auto"/>
            </w:tcBorders>
          </w:tcPr>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Может быть достаточно высоким, если</w:t>
            </w:r>
          </w:p>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раньше по карте был</w:t>
            </w:r>
          </w:p>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большой оборот</w:t>
            </w:r>
          </w:p>
        </w:tc>
      </w:tr>
      <w:tr w:rsidR="00AB3821" w:rsidRPr="00AB3821" w:rsidTr="001D2123">
        <w:tc>
          <w:tcPr>
            <w:tcW w:w="3351" w:type="dxa"/>
            <w:tcBorders>
              <w:top w:val="single" w:sz="4" w:space="0" w:color="auto"/>
              <w:left w:val="single" w:sz="4" w:space="0" w:color="auto"/>
              <w:bottom w:val="single" w:sz="4" w:space="0" w:color="auto"/>
              <w:right w:val="single" w:sz="4" w:space="0" w:color="auto"/>
            </w:tcBorders>
          </w:tcPr>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Комиссия за снятие</w:t>
            </w:r>
          </w:p>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наличных в банкомате своего банка</w:t>
            </w:r>
          </w:p>
        </w:tc>
        <w:tc>
          <w:tcPr>
            <w:tcW w:w="3352" w:type="dxa"/>
            <w:tcBorders>
              <w:top w:val="single" w:sz="4" w:space="0" w:color="auto"/>
              <w:left w:val="single" w:sz="4" w:space="0" w:color="auto"/>
              <w:bottom w:val="single" w:sz="4" w:space="0" w:color="auto"/>
              <w:right w:val="single" w:sz="4" w:space="0" w:color="auto"/>
            </w:tcBorders>
          </w:tcPr>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Отсутствует</w:t>
            </w:r>
          </w:p>
        </w:tc>
        <w:tc>
          <w:tcPr>
            <w:tcW w:w="3352" w:type="dxa"/>
            <w:tcBorders>
              <w:top w:val="single" w:sz="4" w:space="0" w:color="auto"/>
              <w:left w:val="single" w:sz="4" w:space="0" w:color="auto"/>
              <w:bottom w:val="single" w:sz="4" w:space="0" w:color="auto"/>
              <w:right w:val="single" w:sz="4" w:space="0" w:color="auto"/>
            </w:tcBorders>
          </w:tcPr>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Есть (обычно выражается в виде процентов или в виде фиксированной суммы)</w:t>
            </w:r>
          </w:p>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p>
        </w:tc>
      </w:tr>
    </w:tbl>
    <w:p w:rsidR="00AB3821" w:rsidRPr="00AB3821" w:rsidRDefault="00AB3821" w:rsidP="00AB3821">
      <w:pPr>
        <w:spacing w:after="0" w:line="240" w:lineRule="auto"/>
        <w:jc w:val="both"/>
        <w:rPr>
          <w:rFonts w:ascii="Times New Roman" w:eastAsia="Times New Roman" w:hAnsi="Times New Roman" w:cs="Times New Roman"/>
          <w:sz w:val="28"/>
          <w:szCs w:val="28"/>
          <w:lang w:eastAsia="ru-RU"/>
        </w:rPr>
      </w:pPr>
    </w:p>
    <w:p w:rsidR="00AB3821" w:rsidRPr="00AB3821" w:rsidRDefault="00AB3821" w:rsidP="00AB3821">
      <w:pPr>
        <w:spacing w:after="0" w:line="240" w:lineRule="auto"/>
        <w:ind w:firstLine="709"/>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Банк обязан информировать держателя карты обо всех операциях по карте. В случае мошеннической или ошибочной операции по карте ее держатель должен уведомить об этом банк до конца следующего дня, чтобы сумма этой операции была полностью возмещена банком. Если уведомление поступит позже, то вернуть деньги будет гораздо сложнее.</w:t>
      </w:r>
    </w:p>
    <w:p w:rsidR="00AB3821" w:rsidRPr="00AB3821" w:rsidRDefault="00AB3821" w:rsidP="00AB3821">
      <w:pPr>
        <w:spacing w:after="0" w:line="240" w:lineRule="auto"/>
        <w:ind w:firstLine="709"/>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 xml:space="preserve">Перед началом использования карты с овердрафтом необходимо изучить </w:t>
      </w:r>
      <w:r w:rsidRPr="00AB3821">
        <w:rPr>
          <w:rFonts w:ascii="Times New Roman" w:eastAsia="Times New Roman" w:hAnsi="Times New Roman" w:cs="Times New Roman"/>
          <w:b/>
          <w:sz w:val="28"/>
          <w:szCs w:val="28"/>
          <w:lang w:eastAsia="ru-RU"/>
        </w:rPr>
        <w:t>условия использования овердрафта</w:t>
      </w:r>
      <w:r w:rsidRPr="00AB3821">
        <w:rPr>
          <w:rFonts w:ascii="Times New Roman" w:eastAsia="Times New Roman" w:hAnsi="Times New Roman" w:cs="Times New Roman"/>
          <w:sz w:val="28"/>
          <w:szCs w:val="28"/>
          <w:lang w:eastAsia="ru-RU"/>
        </w:rPr>
        <w:t xml:space="preserve">: </w:t>
      </w:r>
    </w:p>
    <w:p w:rsidR="00AB3821" w:rsidRPr="00AB3821" w:rsidRDefault="00AB3821" w:rsidP="00AB3821">
      <w:pPr>
        <w:numPr>
          <w:ilvl w:val="0"/>
          <w:numId w:val="2"/>
        </w:numPr>
        <w:spacing w:after="0" w:line="240" w:lineRule="auto"/>
        <w:jc w:val="both"/>
        <w:rPr>
          <w:rFonts w:ascii="Times New Roman" w:eastAsia="Times New Roman" w:hAnsi="Times New Roman" w:cs="Times New Roman"/>
          <w:sz w:val="28"/>
          <w:szCs w:val="28"/>
        </w:rPr>
      </w:pPr>
      <w:r w:rsidRPr="00AB3821">
        <w:rPr>
          <w:rFonts w:ascii="Times New Roman" w:eastAsia="Times New Roman" w:hAnsi="Times New Roman" w:cs="Times New Roman"/>
          <w:sz w:val="28"/>
          <w:szCs w:val="28"/>
        </w:rPr>
        <w:t>Позволяет ли карта использовать овердрафт.</w:t>
      </w:r>
    </w:p>
    <w:p w:rsidR="00AB3821" w:rsidRPr="00AB3821" w:rsidRDefault="00AB3821" w:rsidP="00AB3821">
      <w:pPr>
        <w:numPr>
          <w:ilvl w:val="0"/>
          <w:numId w:val="2"/>
        </w:numPr>
        <w:spacing w:after="0" w:line="240" w:lineRule="auto"/>
        <w:jc w:val="both"/>
        <w:rPr>
          <w:rFonts w:ascii="Times New Roman" w:eastAsia="Times New Roman" w:hAnsi="Times New Roman" w:cs="Times New Roman"/>
          <w:sz w:val="28"/>
          <w:szCs w:val="28"/>
        </w:rPr>
      </w:pPr>
      <w:r w:rsidRPr="00AB3821">
        <w:rPr>
          <w:rFonts w:ascii="Times New Roman" w:eastAsia="Times New Roman" w:hAnsi="Times New Roman" w:cs="Times New Roman"/>
          <w:sz w:val="28"/>
          <w:szCs w:val="28"/>
        </w:rPr>
        <w:t>Какой может быть максимальная сумма возможной задолженности, т. е. размер овердрафта (если речь идет о дебетовой зарплатной карте, обычно он соответствует заработной плате за месяц).</w:t>
      </w:r>
    </w:p>
    <w:p w:rsidR="00AB3821" w:rsidRPr="00AB3821" w:rsidRDefault="00AB3821" w:rsidP="00AB3821">
      <w:pPr>
        <w:numPr>
          <w:ilvl w:val="0"/>
          <w:numId w:val="2"/>
        </w:numPr>
        <w:spacing w:after="0" w:line="240" w:lineRule="auto"/>
        <w:jc w:val="both"/>
        <w:rPr>
          <w:rFonts w:ascii="Times New Roman" w:eastAsia="Times New Roman" w:hAnsi="Times New Roman" w:cs="Times New Roman"/>
          <w:sz w:val="28"/>
          <w:szCs w:val="28"/>
        </w:rPr>
      </w:pPr>
      <w:r w:rsidRPr="00AB3821">
        <w:rPr>
          <w:rFonts w:ascii="Times New Roman" w:eastAsia="Times New Roman" w:hAnsi="Times New Roman" w:cs="Times New Roman"/>
          <w:sz w:val="28"/>
          <w:szCs w:val="28"/>
        </w:rPr>
        <w:t>Включается ли овердрафт в доступный остаток средств на счете, когда банк сообщает о нем в виде справки, SMS-сообщения или выписки в банкомате.</w:t>
      </w:r>
    </w:p>
    <w:p w:rsidR="00AB3821" w:rsidRPr="00AB3821" w:rsidRDefault="00AB3821" w:rsidP="00AB3821">
      <w:pPr>
        <w:spacing w:after="0" w:line="240" w:lineRule="auto"/>
        <w:ind w:firstLine="709"/>
        <w:jc w:val="both"/>
        <w:rPr>
          <w:rFonts w:ascii="Times New Roman" w:eastAsia="Times New Roman" w:hAnsi="Times New Roman" w:cs="Times New Roman"/>
          <w:sz w:val="28"/>
          <w:szCs w:val="28"/>
          <w:lang w:eastAsia="ru-RU"/>
        </w:rPr>
      </w:pPr>
      <w:r w:rsidRPr="00AB3821">
        <w:rPr>
          <w:rFonts w:ascii="Times New Roman" w:eastAsia="Times New Roman" w:hAnsi="Times New Roman" w:cs="Times New Roman"/>
          <w:sz w:val="28"/>
          <w:szCs w:val="28"/>
          <w:lang w:eastAsia="ru-RU"/>
        </w:rPr>
        <w:t xml:space="preserve">Увеличение суммы собственных средств на карте или лимита овердрафта необходимо отслеживать. Если остаток доступных средств по карте внезапно вырос, а вы не ожидаете поступлений, </w:t>
      </w:r>
      <w:proofErr w:type="gramStart"/>
      <w:r w:rsidRPr="00AB3821">
        <w:rPr>
          <w:rFonts w:ascii="Times New Roman" w:eastAsia="Times New Roman" w:hAnsi="Times New Roman" w:cs="Times New Roman"/>
          <w:sz w:val="28"/>
          <w:szCs w:val="28"/>
          <w:lang w:eastAsia="ru-RU"/>
        </w:rPr>
        <w:t>следует  запросить</w:t>
      </w:r>
      <w:proofErr w:type="gramEnd"/>
      <w:r w:rsidRPr="00AB3821">
        <w:rPr>
          <w:rFonts w:ascii="Times New Roman" w:eastAsia="Times New Roman" w:hAnsi="Times New Roman" w:cs="Times New Roman"/>
          <w:sz w:val="28"/>
          <w:szCs w:val="28"/>
          <w:lang w:eastAsia="ru-RU"/>
        </w:rPr>
        <w:t xml:space="preserve"> в банке объяснения.</w:t>
      </w:r>
    </w:p>
    <w:p w:rsidR="00450D6A" w:rsidRDefault="00450D6A">
      <w:bookmarkStart w:id="2" w:name="_GoBack"/>
      <w:bookmarkEnd w:id="2"/>
    </w:p>
    <w:sectPr w:rsidR="00450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07"/>
    <w:multiLevelType w:val="hybridMultilevel"/>
    <w:tmpl w:val="5056690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15:restartNumberingAfterBreak="0">
    <w:nsid w:val="573C6463"/>
    <w:multiLevelType w:val="hybridMultilevel"/>
    <w:tmpl w:val="AC6C484C"/>
    <w:lvl w:ilvl="0" w:tplc="A596E220">
      <w:start w:val="1"/>
      <w:numFmt w:val="bullet"/>
      <w:lvlText w:val=""/>
      <w:lvlJc w:val="left"/>
      <w:pPr>
        <w:ind w:left="1500" w:hanging="360"/>
      </w:pPr>
      <w:rPr>
        <w:rFonts w:ascii="Wingdings" w:hAnsi="Wingdings" w:hint="default"/>
        <w:color w:val="C45911"/>
      </w:rPr>
    </w:lvl>
    <w:lvl w:ilvl="1" w:tplc="04190003">
      <w:start w:val="1"/>
      <w:numFmt w:val="bullet"/>
      <w:lvlText w:val="o"/>
      <w:lvlJc w:val="left"/>
      <w:pPr>
        <w:ind w:left="2220" w:hanging="360"/>
      </w:pPr>
      <w:rPr>
        <w:rFonts w:ascii="Courier New" w:hAnsi="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hint="default"/>
      </w:rPr>
    </w:lvl>
    <w:lvl w:ilvl="8" w:tplc="04190005">
      <w:start w:val="1"/>
      <w:numFmt w:val="bullet"/>
      <w:lvlText w:val=""/>
      <w:lvlJc w:val="left"/>
      <w:pPr>
        <w:ind w:left="72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2A"/>
    <w:rsid w:val="00010D3D"/>
    <w:rsid w:val="0003472B"/>
    <w:rsid w:val="00065EAB"/>
    <w:rsid w:val="00093681"/>
    <w:rsid w:val="000A133B"/>
    <w:rsid w:val="000A20FB"/>
    <w:rsid w:val="000A676E"/>
    <w:rsid w:val="000F0C83"/>
    <w:rsid w:val="000F716F"/>
    <w:rsid w:val="001735A4"/>
    <w:rsid w:val="001805C6"/>
    <w:rsid w:val="001911B7"/>
    <w:rsid w:val="001C5C3A"/>
    <w:rsid w:val="0020408F"/>
    <w:rsid w:val="00211140"/>
    <w:rsid w:val="00226ADB"/>
    <w:rsid w:val="00236569"/>
    <w:rsid w:val="00254BFE"/>
    <w:rsid w:val="00256F66"/>
    <w:rsid w:val="002837B1"/>
    <w:rsid w:val="002A35C0"/>
    <w:rsid w:val="002B7E5A"/>
    <w:rsid w:val="002C7CF0"/>
    <w:rsid w:val="002D2260"/>
    <w:rsid w:val="002F0ABE"/>
    <w:rsid w:val="003217EF"/>
    <w:rsid w:val="003272B7"/>
    <w:rsid w:val="003362DD"/>
    <w:rsid w:val="003446FD"/>
    <w:rsid w:val="00371DB1"/>
    <w:rsid w:val="003808FE"/>
    <w:rsid w:val="003D0837"/>
    <w:rsid w:val="00450D6A"/>
    <w:rsid w:val="00484CE3"/>
    <w:rsid w:val="004B1EFB"/>
    <w:rsid w:val="005163FC"/>
    <w:rsid w:val="00593056"/>
    <w:rsid w:val="00611A9B"/>
    <w:rsid w:val="00635A8E"/>
    <w:rsid w:val="00637476"/>
    <w:rsid w:val="00653143"/>
    <w:rsid w:val="006A64D1"/>
    <w:rsid w:val="006B43B5"/>
    <w:rsid w:val="006B5D16"/>
    <w:rsid w:val="006F141D"/>
    <w:rsid w:val="007147B7"/>
    <w:rsid w:val="00730680"/>
    <w:rsid w:val="007516B8"/>
    <w:rsid w:val="00762241"/>
    <w:rsid w:val="00767B44"/>
    <w:rsid w:val="007C30C7"/>
    <w:rsid w:val="007D6983"/>
    <w:rsid w:val="00813620"/>
    <w:rsid w:val="00853A32"/>
    <w:rsid w:val="00857AF7"/>
    <w:rsid w:val="008D1847"/>
    <w:rsid w:val="008D52B2"/>
    <w:rsid w:val="008F5CBA"/>
    <w:rsid w:val="00911798"/>
    <w:rsid w:val="00920E77"/>
    <w:rsid w:val="009A0400"/>
    <w:rsid w:val="009A084B"/>
    <w:rsid w:val="00A4493E"/>
    <w:rsid w:val="00A77501"/>
    <w:rsid w:val="00A95977"/>
    <w:rsid w:val="00AB3821"/>
    <w:rsid w:val="00AE4A08"/>
    <w:rsid w:val="00AF498A"/>
    <w:rsid w:val="00B16AAD"/>
    <w:rsid w:val="00B5351A"/>
    <w:rsid w:val="00B61C23"/>
    <w:rsid w:val="00B62CFA"/>
    <w:rsid w:val="00B643EB"/>
    <w:rsid w:val="00B90B95"/>
    <w:rsid w:val="00BC5E9E"/>
    <w:rsid w:val="00BD3372"/>
    <w:rsid w:val="00C3076E"/>
    <w:rsid w:val="00C8244F"/>
    <w:rsid w:val="00CC3402"/>
    <w:rsid w:val="00D97BDD"/>
    <w:rsid w:val="00DA34B5"/>
    <w:rsid w:val="00DC486A"/>
    <w:rsid w:val="00DD222A"/>
    <w:rsid w:val="00DE20EF"/>
    <w:rsid w:val="00E651F8"/>
    <w:rsid w:val="00F81FBA"/>
    <w:rsid w:val="00FF0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1E769E6-F862-4A8A-B82C-3CD1AD51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2019-02-16T06:50:00Z</dcterms:created>
  <dcterms:modified xsi:type="dcterms:W3CDTF">2019-02-16T06:50:00Z</dcterms:modified>
</cp:coreProperties>
</file>