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5"/>
        <w:gridCol w:w="1326"/>
        <w:gridCol w:w="3876"/>
      </w:tblGrid>
      <w:tr w:rsidR="004609AE" w:rsidRPr="004609AE" w:rsidTr="004609AE">
        <w:trPr>
          <w:trHeight w:val="1134"/>
        </w:trPr>
        <w:tc>
          <w:tcPr>
            <w:tcW w:w="4475" w:type="dxa"/>
            <w:hideMark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Исполнительного комитета Нижнебишевского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6" w:type="dxa"/>
            <w:vAlign w:val="center"/>
            <w:hideMark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9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85825"/>
                  <wp:effectExtent l="0" t="0" r="0" b="9525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hideMark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Зәй муниципаль районы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бән  Биш</w:t>
            </w:r>
            <w:proofErr w:type="gramEnd"/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авыл 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 комитет</w:t>
            </w:r>
            <w:r w:rsidRPr="00460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4609AE" w:rsidRPr="004609AE" w:rsidTr="004609AE">
        <w:trPr>
          <w:trHeight w:val="1134"/>
        </w:trPr>
        <w:tc>
          <w:tcPr>
            <w:tcW w:w="4475" w:type="dxa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876" w:type="dxa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9AE" w:rsidRPr="004609AE" w:rsidTr="004609AE">
        <w:trPr>
          <w:trHeight w:val="465"/>
        </w:trPr>
        <w:tc>
          <w:tcPr>
            <w:tcW w:w="4475" w:type="dxa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609AE">
              <w:rPr>
                <w:rFonts w:ascii="Times New Roman" w:hAnsi="Times New Roman" w:cs="Times New Roman"/>
              </w:rPr>
              <w:t>Ул. Центральная, д. 46, с.</w:t>
            </w:r>
            <w:r w:rsidRPr="004609AE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609AE">
              <w:rPr>
                <w:rFonts w:ascii="Times New Roman" w:hAnsi="Times New Roman" w:cs="Times New Roman"/>
              </w:rPr>
              <w:t>Нижнее Бишево, Заинский район,</w:t>
            </w:r>
            <w:r w:rsidRPr="004609AE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609AE">
              <w:rPr>
                <w:rFonts w:ascii="Times New Roman" w:hAnsi="Times New Roman" w:cs="Times New Roman"/>
              </w:rPr>
              <w:t>423514</w:t>
            </w:r>
          </w:p>
        </w:tc>
        <w:tc>
          <w:tcPr>
            <w:tcW w:w="1326" w:type="dxa"/>
            <w:vAlign w:val="center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4609AE" w:rsidRPr="004609AE" w:rsidRDefault="004609AE" w:rsidP="0046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9AE">
              <w:rPr>
                <w:rFonts w:ascii="Times New Roman" w:hAnsi="Times New Roman" w:cs="Times New Roman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4609AE" w:rsidRPr="004609AE" w:rsidTr="004609AE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609AE" w:rsidRPr="004609AE" w:rsidRDefault="004609AE" w:rsidP="00460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9AE">
              <w:rPr>
                <w:rFonts w:ascii="Times New Roman" w:hAnsi="Times New Roman" w:cs="Times New Roman"/>
              </w:rPr>
              <w:t xml:space="preserve">Телефон, факс 68-4-47. Электронный адрес: </w:t>
            </w:r>
            <w:hyperlink r:id="rId6" w:history="1">
              <w:r w:rsidRPr="004609AE">
                <w:rPr>
                  <w:rStyle w:val="a4"/>
                  <w:rFonts w:ascii="Times New Roman" w:hAnsi="Times New Roman" w:cs="Times New Roman"/>
                </w:rPr>
                <w:t>Nbsh.Zai@tatar.ru</w:t>
              </w:r>
            </w:hyperlink>
            <w:r w:rsidRPr="004609AE">
              <w:rPr>
                <w:rFonts w:ascii="Times New Roman" w:hAnsi="Times New Roman" w:cs="Times New Roman"/>
              </w:rPr>
              <w:t xml:space="preserve">, сайт: </w:t>
            </w:r>
            <w:r w:rsidRPr="004609AE">
              <w:rPr>
                <w:rFonts w:ascii="Times New Roman" w:hAnsi="Times New Roman" w:cs="Times New Roman"/>
                <w:lang w:val="en-US"/>
              </w:rPr>
              <w:t>www</w:t>
            </w:r>
            <w:r w:rsidRPr="004609AE">
              <w:rPr>
                <w:rFonts w:ascii="Times New Roman" w:hAnsi="Times New Roman" w:cs="Times New Roman"/>
              </w:rPr>
              <w:t>.nigneebishevo.</w:t>
            </w:r>
            <w:r w:rsidRPr="004609AE">
              <w:rPr>
                <w:rFonts w:ascii="Times New Roman" w:hAnsi="Times New Roman" w:cs="Times New Roman"/>
                <w:lang w:val="en-US"/>
              </w:rPr>
              <w:t>ucoz</w:t>
            </w:r>
            <w:r w:rsidRPr="004609AE">
              <w:rPr>
                <w:rFonts w:ascii="Times New Roman" w:hAnsi="Times New Roman" w:cs="Times New Roman"/>
              </w:rPr>
              <w:t>.</w:t>
            </w:r>
            <w:r w:rsidRPr="004609A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5F79CF" w:rsidRPr="004609AE" w:rsidRDefault="005F79CF" w:rsidP="004609AE">
      <w:pPr>
        <w:widowControl w:val="0"/>
        <w:tabs>
          <w:tab w:val="left" w:pos="3969"/>
          <w:tab w:val="lef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0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</w:p>
    <w:p w:rsidR="005F79CF" w:rsidRPr="005F79CF" w:rsidRDefault="005F79CF" w:rsidP="000E4DB5">
      <w:pPr>
        <w:widowControl w:val="0"/>
        <w:tabs>
          <w:tab w:val="left" w:pos="3969"/>
        </w:tabs>
        <w:spacing w:after="0" w:line="240" w:lineRule="auto"/>
        <w:ind w:left="-709" w:right="-284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</w:pP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ПОСТАНОВЛЕНИЕ                                                    </w:t>
      </w: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                   </w:t>
      </w:r>
      <w:r w:rsidR="004609A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 </w:t>
      </w: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КАРАР</w:t>
      </w:r>
    </w:p>
    <w:p w:rsidR="005F79CF" w:rsidRPr="005F79CF" w:rsidRDefault="005F79CF" w:rsidP="004609AE">
      <w:pPr>
        <w:widowControl w:val="0"/>
        <w:tabs>
          <w:tab w:val="left" w:pos="396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№ </w:t>
      </w:r>
      <w:r w:rsidR="004609A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>9</w:t>
      </w: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              </w:t>
      </w:r>
      <w:r w:rsidR="004609A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 xml:space="preserve">                        </w:t>
      </w: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>2</w:t>
      </w:r>
      <w:r w:rsidR="004609A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>9</w:t>
      </w:r>
      <w:r w:rsidRPr="005F79CF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 w:bidi="ru-RU"/>
        </w:rPr>
        <w:t>.06.2018</w:t>
      </w:r>
    </w:p>
    <w:p w:rsidR="004609AE" w:rsidRDefault="004609AE" w:rsidP="004609AE">
      <w:pPr>
        <w:pStyle w:val="a3"/>
        <w:tabs>
          <w:tab w:val="left" w:pos="9355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79CF" w:rsidRPr="005F79CF" w:rsidRDefault="005F79CF" w:rsidP="004609AE">
      <w:pPr>
        <w:pStyle w:val="a3"/>
        <w:tabs>
          <w:tab w:val="left" w:pos="9355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Татарстан Республикасы Зәй муниципаль районы</w:t>
      </w:r>
    </w:p>
    <w:p w:rsidR="005F79CF" w:rsidRPr="005F79CF" w:rsidRDefault="004609AE" w:rsidP="004609AE">
      <w:pPr>
        <w:pStyle w:val="a3"/>
        <w:tabs>
          <w:tab w:val="left" w:pos="9355"/>
        </w:tabs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Түбән Биш</w:t>
      </w:r>
      <w:r w:rsidR="005F79CF"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авыл җирлеге</w:t>
      </w:r>
    </w:p>
    <w:p w:rsidR="005F79CF" w:rsidRPr="005F79CF" w:rsidRDefault="005F79CF" w:rsidP="004609AE">
      <w:pPr>
        <w:pStyle w:val="a3"/>
        <w:tabs>
          <w:tab w:val="left" w:pos="9355"/>
        </w:tabs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 программалар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ы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ны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эшләү,</w:t>
      </w:r>
    </w:p>
    <w:p w:rsidR="005F79CF" w:rsidRPr="005F79CF" w:rsidRDefault="005F79CF" w:rsidP="004609AE">
      <w:pPr>
        <w:pStyle w:val="a3"/>
        <w:tabs>
          <w:tab w:val="left" w:pos="9355"/>
        </w:tabs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тормышка ашыру һәм</w:t>
      </w:r>
    </w:p>
    <w:p w:rsidR="005F79CF" w:rsidRPr="005F79CF" w:rsidRDefault="005F79CF" w:rsidP="004609AE">
      <w:pPr>
        <w:pStyle w:val="a3"/>
        <w:tabs>
          <w:tab w:val="left" w:pos="9355"/>
        </w:tabs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нәтиҗәлелеген б</w:t>
      </w:r>
      <w:r w:rsidR="00B84CD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әяләү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тәртибен раслау турында</w:t>
      </w:r>
    </w:p>
    <w:p w:rsidR="005F79CF" w:rsidRPr="005F79CF" w:rsidRDefault="005F79CF" w:rsidP="005F79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79CF" w:rsidRPr="005F79CF" w:rsidRDefault="005F79CF" w:rsidP="005F79CF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Россия Федерация</w:t>
      </w:r>
      <w:r w:rsid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Бюджет кодексының 179 статьясы</w:t>
      </w:r>
      <w:r w:rsid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, </w:t>
      </w:r>
      <w:r w:rsidR="00B84CDF" w:rsidRP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«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Россия Федерациясендә җирле үзидарә оештыруның  гомуми принциплары турында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гы</w:t>
      </w:r>
      <w:r w:rsidR="00B84CDF" w:rsidRP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»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2003 елның 06 октяберендәге 131-ФЗ номерлы Федераль закон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ына</w:t>
      </w:r>
      <w:r w:rsid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нигезләнеп, Түбән Биш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авыл җирлеге муниципаль программаларын камилләштерү һәм нәтиҗәлелеген күтәрү максатын</w:t>
      </w:r>
      <w:r w:rsid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нан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</w:p>
    <w:p w:rsidR="005F79CF" w:rsidRPr="005F79CF" w:rsidRDefault="003C2BD9" w:rsidP="005F79CF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к</w:t>
      </w:r>
      <w:r w:rsidR="005F79CF"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арар бирәм: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1. Татарстан Республикасы Зәй муниципаль районы </w:t>
      </w:r>
      <w:r w:rsid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 Биш</w:t>
      </w:r>
      <w:r w:rsidR="004609AE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авыл җирлеге муниципаль программаларының эш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тормышка ашыру һәм нәтиҗәлелеген бәяләү тәртибен расларга. (Кушымта № 1)</w:t>
      </w:r>
    </w:p>
    <w:p w:rsidR="005C6B44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2.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Карарны </w:t>
      </w:r>
      <w:r w:rsidR="00B84CD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Татарстан Республикасы хокукый мәгълүмат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</w:t>
      </w:r>
      <w:r w:rsidR="00B84CD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 рәсми порталында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B84CD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 Биш</w:t>
      </w:r>
      <w:r w:rsidR="004609AE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авыл җирлеге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нең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мәгълүмати стендларында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Зәй муниципаль районы сайтын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«</w:t>
      </w:r>
      <w:r w:rsidR="005C6B4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Авыл җирлеге» бүлегендә </w:t>
      </w:r>
    </w:p>
    <w:p w:rsidR="005F79CF" w:rsidRPr="005F79CF" w:rsidRDefault="005C6B44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(</w:t>
      </w:r>
      <w:r w:rsidR="00B66707" w:rsidRPr="00B66707">
        <w:rPr>
          <w:lang w:val="tt-RU"/>
        </w:rPr>
        <w:t xml:space="preserve"> </w:t>
      </w:r>
      <w:r w:rsidR="00B66707" w:rsidRPr="00B6670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http://zainsk.tatarstan.ru/rus/nizhnebishevskoe.htm</w:t>
      </w:r>
      <w:r w:rsidR="000E4DB5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)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урнаштырырга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3. Карарның үтәлешен контрольдә тотуны үземә калдырам.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4609AE" w:rsidRDefault="004609AE" w:rsidP="004609AE">
      <w:pPr>
        <w:pStyle w:val="a3"/>
        <w:ind w:right="-2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4609AE" w:rsidP="004609AE">
      <w:pPr>
        <w:pStyle w:val="a3"/>
        <w:ind w:right="-28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4609AE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Түбән Биш</w:t>
      </w:r>
      <w:r w:rsidR="005F79CF"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авыл җирлеге </w:t>
      </w:r>
    </w:p>
    <w:p w:rsidR="005F79CF" w:rsidRPr="005F79CF" w:rsidRDefault="005F79CF" w:rsidP="000E4DB5">
      <w:pPr>
        <w:pStyle w:val="a3"/>
        <w:ind w:left="-709" w:right="-28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Башкарма комитеты җитәкчесе</w:t>
      </w:r>
      <w:r w:rsidR="000E4DB5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        </w:t>
      </w:r>
      <w:r w:rsidR="004609AE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                          Д.В.Насертдинов</w:t>
      </w:r>
    </w:p>
    <w:p w:rsidR="004609AE" w:rsidRDefault="004609AE" w:rsidP="000E4DB5">
      <w:pPr>
        <w:pStyle w:val="a3"/>
        <w:ind w:left="5670" w:right="-2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4609AE" w:rsidRDefault="004609AE" w:rsidP="000E4DB5">
      <w:pPr>
        <w:pStyle w:val="a3"/>
        <w:ind w:left="567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lastRenderedPageBreak/>
        <w:t xml:space="preserve">Түбән Биш </w:t>
      </w:r>
      <w:r w:rsidR="005F79CF" w:rsidRPr="004609A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авыл җирлеге </w:t>
      </w:r>
    </w:p>
    <w:p w:rsidR="005F79CF" w:rsidRPr="004609AE" w:rsidRDefault="005F79CF" w:rsidP="000E4DB5">
      <w:pPr>
        <w:pStyle w:val="a3"/>
        <w:ind w:left="567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Башкарма комитетының</w:t>
      </w:r>
    </w:p>
    <w:p w:rsidR="005F79CF" w:rsidRPr="004609AE" w:rsidRDefault="004609AE" w:rsidP="000E4DB5">
      <w:pPr>
        <w:widowControl w:val="0"/>
        <w:autoSpaceDE w:val="0"/>
        <w:autoSpaceDN w:val="0"/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46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29.06</w:t>
      </w:r>
      <w:r w:rsidR="00265437" w:rsidRPr="0046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</w:t>
      </w:r>
      <w:r w:rsidR="005F79CF" w:rsidRPr="0046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2018 № </w:t>
      </w:r>
      <w:r w:rsidRPr="0046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9</w:t>
      </w:r>
      <w:r w:rsidR="005F79CF" w:rsidRPr="0046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</w:p>
    <w:p w:rsidR="005F79CF" w:rsidRPr="004609AE" w:rsidRDefault="005F79CF" w:rsidP="000E4DB5">
      <w:pPr>
        <w:pStyle w:val="a3"/>
        <w:ind w:left="567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карарына 1 нче кушымта 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5F79CF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Татарстан Республикасы Зәй муниципаль районы </w:t>
      </w:r>
      <w:r w:rsidR="004609AE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Түбән Биш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авыл җирлеге муниципаль программаларының эш</w:t>
      </w:r>
      <w:r w:rsidR="00B84CD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ләү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, тормышка ашыру һәм нәтиҗәлелеген б</w:t>
      </w:r>
      <w:r w:rsidR="00B84CD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әяләү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тәртибе</w:t>
      </w:r>
    </w:p>
    <w:p w:rsidR="005F79CF" w:rsidRPr="005F79CF" w:rsidRDefault="005F79CF" w:rsidP="005F79CF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</w:p>
    <w:p w:rsidR="005F79CF" w:rsidRPr="00616C2B" w:rsidRDefault="005F79CF" w:rsidP="005F79CF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616C2B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1. Гомуми положение (нигезләмәләр)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1.1 Әлеге, муниципаль программаларны эш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тормышка ашыру һәм нәтиҗәлелеген бәяләү Тәртибе (алга таба-Тәртип),</w:t>
      </w:r>
      <w:r w:rsidRPr="005F79CF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Россия Федерациясе Бюджет кодексына, </w:t>
      </w:r>
      <w:r w:rsidR="00B84CDF" w:rsidRP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«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Россия Федерациясендә җирле үзидарә оештыруның гомуми принциплары турында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гы</w:t>
      </w:r>
      <w:r w:rsidR="00B84CDF" w:rsidRP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»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2003 елның 06 октяберендәге 131-ФЗ номерлы Федераль закон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нигезләнеп  чыгарылган.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1.2 Муниципаль программа астында әлеге Тәртиптә Татарстан Республикасы Зәй мунципаль районы </w:t>
      </w:r>
      <w:r w:rsid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 Биш</w:t>
      </w:r>
      <w:r w:rsidR="004609AE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Башкарма комитеты катнашында җирле бюджет хисабына гамәлгә ашырыла торган программа күз алдында тотыла. Муниципаль программалар максатлар, ресурслар һәм үтәлү вакытын үз эченә ал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, җитештерү, социаль-экономик, оештыру-хуҗалык һәм башка </w:t>
      </w:r>
      <w:r w:rsidR="000E4DB5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чаралар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белән тыгыз бәйл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, </w:t>
      </w:r>
      <w:r w:rsid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 Биш</w:t>
      </w:r>
      <w:r w:rsidR="004609AE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авыл җирлегенең муниципаль, экономик, экологик, социаль-культура үсешен нәтиҗәле хәл итүгә юнә</w:t>
      </w:r>
      <w:r w:rsidR="000E4DB5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тел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1.3 Муниципаль программа үз кысаларындагы төгәл бурычларны хәл итүгә юнәлдерелгән берничә ярдәмчел программаны үз эченә алырга мөмкин. Муниципаль программаның ярдәмчел программаларга бүленүе, хәл ителәсе мәсьәләләрнең катлаулыгы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ннан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 масштабыннан,</w:t>
      </w:r>
      <w:r w:rsidRPr="005F79CF">
        <w:rPr>
          <w:rFonts w:ascii="Times New Roman" w:hAnsi="Times New Roman" w:cs="Times New Roman"/>
          <w:i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чишү юлларын нәтиҗәле оештыру кирәклегеннән</w:t>
      </w:r>
      <w:r w:rsidRPr="005F79CF">
        <w:rPr>
          <w:rFonts w:ascii="Times New Roman" w:hAnsi="Times New Roman" w:cs="Times New Roman"/>
          <w:i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чыгып, гамәлгә ашырыла.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1.4 Методик яктан җитәкчелек итү, эшкәртүне координацияләү, һәм муниципаль программаларны гамәлгә ашыру әлеге Тәртипкә нигезләнеп башкарыла.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1.5. Муниципаль программаны гамәлгә ашыру вакыты проблема</w:t>
      </w:r>
      <w:r w:rsidR="000E4DB5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көтелгән нәтиҗә һәм ресурс мөмкинлекләренә карап билгеләнә.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программалар үтәлү вакыты буенча түбәндәгеләргә буленә:</w:t>
      </w:r>
    </w:p>
    <w:p w:rsidR="005F79CF" w:rsidRPr="005F79CF" w:rsidRDefault="005F79CF" w:rsidP="005F79CF">
      <w:pPr>
        <w:pStyle w:val="a3"/>
        <w:numPr>
          <w:ilvl w:val="0"/>
          <w:numId w:val="1"/>
        </w:numPr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кыска вакытлы (1-2 елга)</w:t>
      </w:r>
    </w:p>
    <w:p w:rsidR="005F79CF" w:rsidRPr="005F79CF" w:rsidRDefault="005F79CF" w:rsidP="005F79CF">
      <w:pPr>
        <w:pStyle w:val="a3"/>
        <w:numPr>
          <w:ilvl w:val="0"/>
          <w:numId w:val="1"/>
        </w:numPr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уртача вакыт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лы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(3-5 елга)</w:t>
      </w:r>
    </w:p>
    <w:p w:rsidR="005F79CF" w:rsidRPr="005F79CF" w:rsidRDefault="005F79CF" w:rsidP="005F79CF">
      <w:pPr>
        <w:pStyle w:val="a3"/>
        <w:numPr>
          <w:ilvl w:val="0"/>
          <w:numId w:val="1"/>
        </w:numPr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озак вакыт</w:t>
      </w:r>
      <w:r w:rsidR="00B84CD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лы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(6-10 </w:t>
      </w:r>
      <w:r w:rsidR="000E4DB5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елга һәм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аннан күбрәк)</w:t>
      </w:r>
    </w:p>
    <w:p w:rsidR="005F79CF" w:rsidRPr="005F79CF" w:rsidRDefault="005F79CF" w:rsidP="005F79CF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265437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lastRenderedPageBreak/>
        <w:t>Муниципаль программаларны эшләү һәм раслау шушы Тәртипнең беренче номерлы  кушымтасына нигезләнеп эшләнә һәм үз эченә т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бәндәге этапларны ала:</w:t>
      </w:r>
    </w:p>
    <w:p w:rsidR="005F79CF" w:rsidRPr="005F79CF" w:rsidRDefault="005F79CF" w:rsidP="00265437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 эшләү;</w:t>
      </w:r>
    </w:p>
    <w:p w:rsidR="005F79CF" w:rsidRPr="005F79CF" w:rsidRDefault="005F79CF" w:rsidP="00265437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программаның проектын килештерү;</w:t>
      </w:r>
    </w:p>
    <w:p w:rsidR="005F79CF" w:rsidRPr="005F79CF" w:rsidRDefault="005F79CF" w:rsidP="00265437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- муниципаль программаның проектына экспертиза үткәрү, 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шулай ук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бәйсез экспертлар белән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дә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265437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(кирәк булганда)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Default="005F79CF" w:rsidP="00265437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 раслау.</w:t>
      </w:r>
    </w:p>
    <w:p w:rsidR="00265437" w:rsidRPr="005F79CF" w:rsidRDefault="00265437" w:rsidP="005F79CF">
      <w:pPr>
        <w:spacing w:after="0" w:line="240" w:lineRule="auto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Default="005F79CF" w:rsidP="00265437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265437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2. Муниципаль программаны формалаштыру</w:t>
      </w:r>
    </w:p>
    <w:p w:rsidR="00265437" w:rsidRPr="00265437" w:rsidRDefault="00265437" w:rsidP="00265437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2.1.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униципаль программа тубәндәге бүлекләрдән тора: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B64966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шушы Тәртипнең икенче номерлы кушымтасына нигезлә</w:t>
      </w:r>
      <w:r w:rsidR="00B6496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гән</w:t>
      </w:r>
      <w:r w:rsidR="00B64966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программаның паспорты;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- </w:t>
      </w:r>
      <w:r w:rsidR="00265437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муниниципаль программа чишүг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="00265437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юнәлдерелгән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проблеманың характеристикасын ачу;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</w:t>
      </w:r>
      <w:r w:rsidR="00B6496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ң </w:t>
      </w:r>
      <w:r w:rsidR="00A01E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вакытларын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 этаплар</w:t>
      </w:r>
      <w:r w:rsidR="00B6496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ын үз эченә алган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төп максатлар һәм бурычлар, ярдәмчел программаның, программа чаралары</w:t>
      </w:r>
      <w:r w:rsidR="00B6496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A01E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 аларның бурычлары</w:t>
      </w:r>
      <w:r w:rsidR="00A01EE8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киселешендә </w:t>
      </w:r>
      <w:r w:rsidR="00A01E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нәтиҗәләрне бәяләү индикаторларының</w:t>
      </w:r>
      <w:r w:rsidR="00B64966" w:rsidRPr="00B6496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B64966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кыскача исемлеге һәм тасвирламасы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программаның ресурслар белән тәэмин ителеше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нигезләмәсе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муниципаль программаны гамәлгә ашыру механизмы, 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үз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чиратында үх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эченә программа белән 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идарә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итү механизмын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да кертә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265437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- муниципаль 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программаның икътисади, социаль,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экологик нәтиҗәлелегенә бәя;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программаның бюджет нәтиҗәлелегенә б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я.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2.2. Муниципаль программаның эчтәлеген</w:t>
      </w:r>
      <w:r w:rsidR="00A01E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карата т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бәндәгеләр т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ләп ителә: 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</w:t>
      </w:r>
      <w:r w:rsidR="00A01E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беренче бүлеге проблемалар исемлеге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аларны нигезләү, 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һәм, шул исәптән, </w:t>
      </w:r>
      <w:r w:rsidR="00183164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лар</w:t>
      </w:r>
      <w:r w:rsidR="00183164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ның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ни сәбәпләр аркасында барлыкка кил</w:t>
      </w:r>
      <w:r w:rsidR="0026543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е, шул сәбәпләрне нигезләү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дән</w:t>
      </w:r>
      <w:r w:rsidR="00183164" w:rsidRP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183164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торырга тиеш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программаның икенче б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леге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максатларның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жәелдерелгән формулировкасыннан һәм программаның бурычларыннан, ярдәмчел программалар исемлегенн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н һәм чаралардан, бурычларны 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х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әл итүне тормышка ашыру тәкъдимнәреннән һәм куелган максатларга ирешүне т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ләп итүдән, һәр чараны тормышка ашыру өчен кир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кле мәгълүм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</w:t>
      </w:r>
      <w:r w:rsidR="00183164" w:rsidRP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ь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ләрне (финанс чыганакларга нигезләп) һәм үтәлү вакытын к</w:t>
      </w:r>
      <w:r w:rsidR="0018316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рсәтеп, программаның нәтиҗәсен бәяләү индикаторын ачыклаудан торырга тиеш.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Программаны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максатлар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ләпләр: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lastRenderedPageBreak/>
        <w:t>- спецификацияле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лек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(муниципаль зак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зчыларның компетенциясе муниципаль программаның максатларына туры килергә тиеш);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үтәлешлек (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максатлар башкарып чыгарлык булырга тиеш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)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- 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лчәмлелек (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нәтиҗәләрне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бәяләп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лырга тиеш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)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куелган сроклар белән тәңгәллек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(муниципаль программада </w:t>
      </w:r>
      <w:r w:rsidR="006E2D87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аерым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максатларның үтәлү вакыты һәм этаплары курсәтелгән булырга тиеш).</w:t>
      </w:r>
    </w:p>
    <w:p w:rsidR="005F79CF" w:rsidRPr="005F79CF" w:rsidRDefault="006E2D87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үлектә программа формалаштырган максатлар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үтәү өчен куелган бурычларны нигезләү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максатларның үтәлеш вакыты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программа үтәлешенең төп этапларын гамәлгә ашыру, һәр этапның планлаштырылган прогноз индикаторы күрсәт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кечләре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 һәр этапның бурычлары, шулай ук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муниципаль программаның вакытыннан алда үтәлешен үз эченә ал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 бул</w:t>
      </w:r>
      <w:r w:rsidR="005F79C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ырга тиеш.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 максатының  һәм бурычларының үтәлеш нәтиҗәләрен бәяләү индикаторлары шушы Тәртипнең өченче кушымтасында к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рсәтелә.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Муниципаль программанын өченче бүлегендә 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еллар буенча һәм финанслау чыг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ан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кларына бүленеп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ресурс белән тәэмин итү нигезләнә. Моннан тыш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 бүлектә бюджеттан тыш акча җәлеп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ит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мөмкинлеге яки мөмкин булмавы һәм программа чараларын үтәргә муниципаль берәмлекләрнең бюджет акчаларын җәлеп итү мөмкинлеге һәм акчаны җәлеп итүнең төп механизмнары тасвирлана.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программаның дүртенче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бүлегенә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төп тәләпләр шушы Тәртипнең бишенче бүлегендә күрсәтелгән.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Муниципаль программаның бишенче бүлегендә 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программаны тормышка ашырганда килеп 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чыгарга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мөмкин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булган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социаль, икътисадый һәм экологик нәтиҗәләр, шулай ук муниципаль  программаның бюджет нәтиҗ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лелеген бәяләү</w:t>
      </w:r>
      <w:r w:rsidR="0069178F" w:rsidRP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тасвирлана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2.3.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программада катнашучылар муниципаль программаны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алар тарафыннан тормышка ашырыла торган төп чаралар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га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һәм ярдәмчел программаларга кагыла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торган өлешенең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проектына килешү төзиләр.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Муниципаль программага ярдәмчел программа керткәндә, </w:t>
      </w:r>
      <w:r w:rsidR="0069178F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ярдәмче программа</w:t>
      </w:r>
      <w:r w:rsidR="0069178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ның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заказчы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сының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вәкиле белән килешү төз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ү дә җитә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(берничә заказчы булганда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ярдәмче программа координаторы белән).</w:t>
      </w:r>
    </w:p>
    <w:p w:rsidR="00942339" w:rsidRPr="005F79CF" w:rsidRDefault="00942339" w:rsidP="005F79CF">
      <w:pPr>
        <w:spacing w:after="0" w:line="240" w:lineRule="auto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942339" w:rsidRDefault="005F79CF" w:rsidP="00942339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942339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3. Муниципаль программага экспертиза һәм бәяләмә.</w:t>
      </w:r>
    </w:p>
    <w:p w:rsidR="00942339" w:rsidRPr="005F79CF" w:rsidRDefault="00942339" w:rsidP="005F79CF">
      <w:pPr>
        <w:spacing w:after="0" w:line="240" w:lineRule="auto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3.1. Муниципаль программаның проектын бәяләүне Башкарма комитет үзе башкара һәм төп игътибарны 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түбәндәгеләргә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юнәлтә: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программа </w:t>
      </w:r>
      <w:r w:rsidR="00942339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чаралар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942339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нигезләнгән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булуы, комплекслыгы һәм 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экологик куркынычсызлыгы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үтәле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ш сроклары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финанслау күләмнәре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нең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нигезлән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lastRenderedPageBreak/>
        <w:t>- муниципаль программаны гамәлгә ашыру өчен бюджеттан тыш акчалар җәлеп ит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елү</w:t>
      </w:r>
      <w:r w:rsidR="005940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5F79CF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үтәлеш механизмының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нәтиҗәле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леге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;</w:t>
      </w:r>
    </w:p>
    <w:p w:rsidR="005F79CF" w:rsidRPr="00107B8E" w:rsidRDefault="005F79CF" w:rsidP="0094233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пограмманы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тулаем алганда социаль–иктисади нәтиҗәлелеге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программаны тормышка ашыруда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 соң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көтелгә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ахыр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гы</w:t>
      </w:r>
      <w:r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нәтиҗәләре һәм </w:t>
      </w:r>
      <w:r w:rsidR="00942339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җирлектәге халыкның тормыш 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сыйфаты</w:t>
      </w:r>
      <w:r w:rsidR="00942339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күтәре</w:t>
      </w:r>
      <w:r w:rsidR="0094233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лү</w:t>
      </w:r>
      <w:r w:rsidR="00942339" w:rsidRPr="005F79CF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942339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бәяләмәсенә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йогынтысы</w:t>
      </w:r>
      <w:r w:rsidR="00942339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Pr="0002548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3.2. 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Җирлекнең 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Башкарма комитеты муниципаль программаларны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Проектларын бәяләг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нн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 соң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кирәк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булса,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алар шулай ук 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махсус (</w:t>
      </w:r>
      <w:r w:rsidR="00107B8E"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билгеле бер өлкәдә махсус белемнәр таләп иткән сорауларны өйрәнү</w:t>
      </w:r>
      <w:r w:rsidRPr="00107B8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) һәм бәйсез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экспертиза узарга тиеш</w:t>
      </w:r>
      <w:r w:rsidR="00107B8E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ләр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5F79CF" w:rsidRPr="00025482" w:rsidRDefault="00107B8E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Әлеге 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Тәрти</w:t>
      </w:r>
      <w:r w:rsidR="00616C2B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буенча каралган экспертиза барышында муниципаль программалар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проектлары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куела торган таләпләргә туры килү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билгеләнә, кирәк булган очракта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муниципаль программаларның проектларын 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эшләп бетерү буенча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тәкъдимнәр 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формалаша.</w:t>
      </w:r>
    </w:p>
    <w:p w:rsidR="005F79CF" w:rsidRPr="00025482" w:rsidRDefault="00107B8E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униципаль программа проекты каралганда һәм кабул иткәндә махсус һәм бәйсез экспертизалар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5F79CF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нәтиҗәләре исәпкә алына.</w:t>
      </w:r>
    </w:p>
    <w:p w:rsidR="005F79CF" w:rsidRPr="00025482" w:rsidRDefault="005F79CF" w:rsidP="005F79CF">
      <w:pPr>
        <w:pStyle w:val="a3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5F79CF" w:rsidRPr="00025482" w:rsidRDefault="005F79CF" w:rsidP="00616C2B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4. Муниципаль программаларны финанслау.</w:t>
      </w:r>
    </w:p>
    <w:p w:rsidR="00616C2B" w:rsidRPr="00025482" w:rsidRDefault="00616C2B" w:rsidP="00616C2B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</w:pPr>
    </w:p>
    <w:p w:rsidR="00107B8E" w:rsidRPr="0002548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4.1 Расланган муниципаль программалар җирле бюджет һәм бюджеттан тыш чыганаклар хисабына тормышка ашырыла.</w:t>
      </w:r>
    </w:p>
    <w:p w:rsidR="005F79CF" w:rsidRPr="0002548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>4.2. Муниципаль программада федераль һәм республика бюджеты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ннан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акча каралган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>булырга мөмкин.</w:t>
      </w:r>
    </w:p>
    <w:p w:rsidR="005F79CF" w:rsidRPr="0002548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>4.3. Муниципаль программаны гамәлгә ашыру өчен махсус фондлар оештырыл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аргы мөмкин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Әлеге фондларларга юллана торган 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кчаларның чыганаклары булып: 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оешма-предприятие карамагында калган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табыш, 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җирлекнең 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>бюджет һәм бюджеттан тыш акчалары һәм башкалар</w:t>
      </w:r>
      <w:r w:rsidR="00025482" w:rsidRPr="0002548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чыганаклар булырга мөмкин</w:t>
      </w: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F79CF" w:rsidRPr="00025482" w:rsidRDefault="005F79CF" w:rsidP="005F79CF">
      <w:pPr>
        <w:pStyle w:val="a3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P103"/>
      <w:bookmarkEnd w:id="1"/>
    </w:p>
    <w:p w:rsidR="005F79CF" w:rsidRPr="00025482" w:rsidRDefault="005F79CF" w:rsidP="005F79CF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Муниципаль программаларн</w:t>
      </w:r>
      <w:r w:rsidR="00025482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ы</w:t>
      </w: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гамәлгә ашыру</w:t>
      </w:r>
      <w:r w:rsidR="00025482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 xml:space="preserve"> буенча</w:t>
      </w: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идарә һәм аны</w:t>
      </w:r>
      <w:r w:rsidR="00025482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ң</w:t>
      </w: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үтә</w:t>
      </w:r>
      <w:r w:rsidR="00025482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лешен</w:t>
      </w:r>
      <w:r w:rsidRPr="000254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контрольдә тоту.</w:t>
      </w:r>
    </w:p>
    <w:p w:rsidR="005F79CF" w:rsidRPr="00025482" w:rsidRDefault="005F79CF" w:rsidP="005F79CF">
      <w:pPr>
        <w:pStyle w:val="a3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79CF" w:rsidRPr="00067794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54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5.1. </w:t>
      </w:r>
      <w:r w:rsidRPr="00067794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</w:t>
      </w:r>
      <w:r w:rsidR="00025482" w:rsidRPr="0006779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Pr="00067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25482" w:rsidRPr="00067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гамәлгә ашыру </w:t>
      </w:r>
      <w:r w:rsidR="00025482" w:rsidRPr="0006779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буенча идарәнең </w:t>
      </w:r>
      <w:r w:rsidR="00025482" w:rsidRPr="00067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ысуллары </w:t>
      </w:r>
      <w:r w:rsidR="00025482" w:rsidRPr="0006779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һәм формалары </w:t>
      </w:r>
      <w:r w:rsidRPr="00067794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заказчы белән билгеләнә.</w:t>
      </w:r>
    </w:p>
    <w:p w:rsidR="005F79CF" w:rsidRPr="00F9773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Программада муниципаль заказчының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-координаторның һәм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башкаручылар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025482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тормышка ашыру вакытлары һәм күләмнәре өлешендә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үзара бәйләнешлеге чагылырга тиеш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F79CF" w:rsidRPr="00F97732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гамәлгә ашыру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гамәлдәге федерал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законга таянып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муни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ципаль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программаның заказчысы һәм программа чараларын 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lastRenderedPageBreak/>
        <w:t>гамәлгә ашыручы һәрбер башкаручы белән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ихтыяҗларны канәгатьләндерү өчен продукция 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алуга һәм тәэмин итүгә кабул ителгән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 контрактлар (шартнамәләр)</w:t>
      </w:r>
      <w:r w:rsidR="00067794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нигезендә башкарыла.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5.2. Муниципаль программа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башкаручы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бүле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не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>п бирелә торган муниципаль программаның финанс чаралары</w:t>
      </w:r>
      <w:r w:rsidR="00F97732" w:rsidRPr="00F9773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Pr="00F977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исәпкә алып, чираттагы 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финанс елына ел саен максат индикаторлары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программаны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гамәлгә ашыру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өчен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чыгымнарны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программаны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гамәлгә ашыру механизмнарын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һәм аны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башкаручылар 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составы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аныклый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5.3</w:t>
      </w:r>
      <w:r w:rsidR="00107B8E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программага яңа ярдәмче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программалар өстәү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һәм аларны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раслау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программалар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 эшләп чыгару һәм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97732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гамәлгә ашыруны 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билгелә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гән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тәртиптә башкарыла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5.4. Муниципаль программаларны башкаручылар җирлек Башкарма комитетына программаларның эш барышы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тормышка ашыру турында мәгълүмат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не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һәм финанс чараларын кулану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нәтиҗәлелеген юнәлтәләр.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Ел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өчен гомуми отчетка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эшләнмәгән чаралар турында мәгълүмат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та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кертелергә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тиеш.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5.5.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ллык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отчет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әлеге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Тәрти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пнең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нче кушымта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 билгеләгән форма буенча тутырылган с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татистик мәгълүмат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һәм түбәндәге бүлекләрдән торган аналитик мәгълүматны үз эченә ала: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а) 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отчет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чорында ирешелгән конкрет нәтиҗәләр;  </w:t>
      </w:r>
    </w:p>
    <w:p w:rsidR="005F79CF" w:rsidRPr="006859BD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б) билгеләнгән вакытта башкарылган һәм башкарылмаган эшләр (сәбәпләрен күрсәтеп), чаралар исемлеге;</w:t>
      </w:r>
    </w:p>
    <w:p w:rsidR="005F79CF" w:rsidRPr="00A64076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>в) муниципаль программан</w:t>
      </w:r>
      <w:r w:rsidR="006859BD" w:rsidRPr="006859B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</w:t>
      </w:r>
      <w:r w:rsidRPr="006859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тормышка ашыру барышына йогынты ясаган 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факторлар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анализ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</w:t>
      </w:r>
      <w:r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5F79CF" w:rsidRPr="00A64076" w:rsidRDefault="005F79CF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г) чаралар үтәлү өчен бюджет ассигновани</w:t>
      </w:r>
      <w:r w:rsidR="006859BD" w:rsidRPr="00A6407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я</w:t>
      </w:r>
      <w:r w:rsidRPr="00A64076">
        <w:rPr>
          <w:rFonts w:ascii="Times New Roman" w:hAnsi="Times New Roman" w:cs="Times New Roman"/>
          <w:color w:val="000000" w:themeColor="text1"/>
          <w:sz w:val="32"/>
          <w:szCs w:val="32"/>
        </w:rPr>
        <w:t>ләре һәм башка чаралар файдалану турында мәгълүматлар;</w:t>
      </w:r>
    </w:p>
    <w:p w:rsidR="005F79CF" w:rsidRPr="009D552A" w:rsidRDefault="006859BD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07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д) 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>униципаль программага муниципаль заказ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чы керткән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үзгәр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ешләр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турында мәгълүмат</w:t>
      </w:r>
      <w:r w:rsidR="00A64076"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F79CF" w:rsidRPr="003C2BD9" w:rsidRDefault="009D552A" w:rsidP="00107B8E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>униципаль программаларның план һәм хакыйкый нәтиҗә күрсәткечләре арасында әһәмиятле аерма булган очракта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аларга й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>огынты ясаган факторлар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га анализ ясала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Анализ вакытында 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заказ бирүче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тәэсир итә ала торган эчке факторлар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һәм 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аңа </w:t>
      </w:r>
      <w:r w:rsidR="005F79CF" w:rsidRPr="009D552A">
        <w:rPr>
          <w:rFonts w:ascii="Times New Roman" w:hAnsi="Times New Roman" w:cs="Times New Roman"/>
          <w:color w:val="000000" w:themeColor="text1"/>
          <w:sz w:val="32"/>
          <w:szCs w:val="32"/>
        </w:rPr>
        <w:t>бәйле булмаган тышкы факторлар</w:t>
      </w:r>
      <w:r w:rsidRPr="009D552A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аерылып күрсәтелә</w:t>
      </w:r>
      <w:r w:rsidR="005F79CF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5F79CF" w:rsidRPr="003C2BD9" w:rsidRDefault="005F79CF" w:rsidP="005F79CF">
      <w:pPr>
        <w:pStyle w:val="a3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79CF" w:rsidRPr="003C2BD9" w:rsidRDefault="005F79CF" w:rsidP="00616C2B">
      <w:pPr>
        <w:pStyle w:val="a3"/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 Муниципаль программаларның нәтиҗәлелеген бәяләү.</w:t>
      </w:r>
    </w:p>
    <w:p w:rsidR="005F79CF" w:rsidRPr="003C2BD9" w:rsidRDefault="005F79CF" w:rsidP="005F79CF">
      <w:pPr>
        <w:pStyle w:val="a3"/>
        <w:ind w:left="-709" w:right="-284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79CF" w:rsidRPr="003C2BD9" w:rsidRDefault="005F79CF" w:rsidP="009D552A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6.1. Муниципаль программаның тормышка ашыру нәтиҗәлелеген бәяләү 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түбәндәгечә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үткәрелә:</w:t>
      </w:r>
    </w:p>
    <w:p w:rsidR="005F79CF" w:rsidRPr="003C2BD9" w:rsidRDefault="005F79CF" w:rsidP="009D552A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  <w:r w:rsidR="00616C2B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тулаем алганда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 программа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бурычларын 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үтәү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һәм максатларга ирешү 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дәрәҗәсе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бәяләү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түбәндә күрсәтелгән 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1 таблицасындагы формула буенча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,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программаның ирешелгән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индикатор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күрсәткечләрен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пландагы 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күрсәткечләр белән</w:t>
      </w:r>
      <w:r w:rsidR="009D552A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чагыштырып башкарыла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: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F79CF" w:rsidRPr="003C2BD9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Сд =Зф /Зп *100%,</w:t>
      </w:r>
    </w:p>
    <w:p w:rsidR="005F79CF" w:rsidRPr="003C2BD9" w:rsidRDefault="00F97732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биредә</w:t>
      </w:r>
      <w:r w:rsidR="005F79CF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5F79CF" w:rsidRPr="003C2BD9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Сд 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максатлар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га ирешү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дәрәҗәсе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бәяләү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5F79CF" w:rsidRPr="003C2BD9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Зф -дәүләт программасы индикаторының хакыйкый мәгънәсе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(күрсәткече);</w:t>
      </w:r>
    </w:p>
    <w:p w:rsidR="005F79CF" w:rsidRPr="003C2BD9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Зп - 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рограмма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пландагы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индикаторы мәгънәсе (күрсәткече)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, </w:t>
      </w:r>
      <w:r w:rsidRPr="003C2BD9">
        <w:rPr>
          <w:rFonts w:ascii="Times New Roman" w:hAnsi="Times New Roman" w:cs="Times New Roman"/>
          <w:color w:val="000000" w:themeColor="text1"/>
          <w:sz w:val="32"/>
          <w:szCs w:val="32"/>
        </w:rPr>
        <w:t>яи</w:t>
      </w:r>
      <w:r w:rsidR="003C2BD9" w:rsidRPr="003C2BD9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сә</w:t>
      </w:r>
    </w:p>
    <w:p w:rsidR="005F79CF" w:rsidRPr="00AF4AE8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Сд =Зп /Зф *100% </w:t>
      </w:r>
      <w:r w:rsidR="003C2BD9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(көтелгән күрсәткечләр тенденциясе кимү булган индикаторлар(күрсәткечләр өчен);</w:t>
      </w:r>
    </w:p>
    <w:p w:rsidR="005F79CF" w:rsidRPr="00AF4AE8" w:rsidRDefault="005F79CF" w:rsidP="00616C2B">
      <w:pPr>
        <w:pStyle w:val="a3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2) план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</w:t>
      </w:r>
      <w:r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аштырылган чыгымнарның дәрәҗәсе 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һәм җирле бюджет акчаларын һәм муниципаль программаның ресурслар белән тәэмин итүче башка чыганакларын нәтиҗәле файдалану дәрәҗәсе</w:t>
      </w:r>
      <w:r w:rsidR="00AF4AE8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тәңгәллеге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 муниципаль программаның</w:t>
      </w:r>
      <w:r w:rsidR="00AF4AE8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тулаем һәм ярдәмче прораммаларның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фактта һәм планда булган финанслау к</w:t>
      </w:r>
      <w:r w:rsidR="00AF4AE8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ләмнәрен</w:t>
      </w:r>
      <w:r w:rsidR="00AF4AE8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ең, һәм ярдәмче прораммаларның тулаем (төрле дәрәҗәге бюджетлар, бюджеттан тыш чыганаклар) барлык ресурс белән тәэмин итүче чыганаклардан да фактта һәм планда булган финанслау күләмнәренең</w:t>
      </w:r>
      <w:r w:rsidR="004D5871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B67A59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тәңгәллеге</w:t>
      </w:r>
      <w:r w:rsidR="00AF4AE8"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 чагыштырып</w:t>
      </w:r>
      <w:r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түбәндәге формула буенча исәпләнә:</w:t>
      </w:r>
    </w:p>
    <w:p w:rsidR="005F79CF" w:rsidRPr="00AF4AE8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</w:rPr>
        <w:t>Уф =Фф /Фп *100%, (Фд=Фф/Фп*100%)</w:t>
      </w:r>
    </w:p>
    <w:p w:rsidR="005F79CF" w:rsidRPr="00AF4AE8" w:rsidRDefault="00F97732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биредә</w:t>
      </w:r>
      <w:r w:rsidR="005F79CF" w:rsidRPr="00AF4A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5F79CF" w:rsidRPr="00AF4AE8" w:rsidRDefault="00AF4AE8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Уф </w:t>
      </w:r>
      <w:r w:rsidR="005F79CF" w:rsidRPr="00AF4A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муниципаль программаларны (ярдәмче программаларны) гамәлгә ашыру буенча төп чараларны финанслау дәрәҗәсе; </w:t>
      </w:r>
    </w:p>
    <w:p w:rsidR="005F79CF" w:rsidRPr="00EC2980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4A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Фф - муниципаль программаларны (ярдәмче программаларны) гамәлгә ашыру өчен юнәлдерелгән чараларның финанс ресурсларының факттагы күләме; 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29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Фп - тиешле хисап чорында муниципаль программаларны (ярдәмче программаларны)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тормышка ашыруга юнәлдерелгән финанс ресурсларының план күләме;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3)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ярдәмче программаларның төп чараларын башкаруның турадан-туры нәтиҗәсе булган факт һәм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һәр елны 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программаны гамәлгә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ашыру планнарыннан чыгып, 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план күрсәткечләрен елларга бүлеп чагыштыру нигезендә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программаларны гамәлгә ашыру чараларының дәрәҗәсе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(турыдан-туры 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көтелгән </w:t>
      </w:r>
      <w:r w:rsidR="00AF4AE8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күрсәткечләрне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гамәлгә ашыру нәтиҗәләре) билгеләнә.</w:t>
      </w:r>
    </w:p>
    <w:p w:rsidR="005F79CF" w:rsidRPr="00F37412" w:rsidRDefault="00EC2980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униципаль программалар гамәлгә ашыру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лычы ч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ираттагы ел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башына кадәр 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җаваплы башкаручы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ның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(ярдәмче программалар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һәр күрсәткеч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(индикатор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она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программаларны гамәлгә ашыру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чагыл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дырылган түбндәге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интерваллар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күрсәткечләрен 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билгели: 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югары нәтиҗәлеле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дәрәҗә</w:t>
      </w:r>
      <w:r w:rsidR="00EC2980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се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канәгатълән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нәтиҗәлелеге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дәрәҗә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се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канәгатъләнмә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нәтиҗәлелеге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дәрәҗә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се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5F79CF" w:rsidRPr="00F37412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программада югары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нәтиҗәлелек дәрәҗәсе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тиешле елга интервалның түбән чиге планлаштырылган күрсәткечтән (индикатордан) пландагы үсешнең 95 процент күрсәткеченнән (индикатордан)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башлап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муниципаль программаның канәгатъләнерлек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нәтиҗәлелек дәрәҗәсе 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тиешле елга планлаштырылган күрсәткечтән интервалның түбән чиге тиешле пландагы үсешнең 75% күрсәткеченнән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башлапа билгеләнә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Муниципаль программаны тормышка ашырылуда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югары нәтиҗәлелек дәрәҗәсе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буларак билгеләнә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, әгәр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дә</w:t>
      </w:r>
      <w:r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5F79CF" w:rsidRPr="00F37412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 программаның һәм аның ярдәмче программаларының 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югары нәтиҗәлелек дәрәҗәсе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планга туры килгән интервал зурлыгының 95% һәм аннан күбрәк күрсәткечләр билгел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әсә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5F79CF" w:rsidRPr="00F37412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программаның төп чаралар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(Уф) финанслау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гамәлгә ашыру дәрәҗәсе кимендә 95% тәшкил ит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ә, ярдәмче муниципаль программаларның төп чаралар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(Уф) финанслау, гамәлгә ашыру дәрәҗәсе ким дигәндә 90% тәшкил ит</w:t>
      </w:r>
      <w:r w:rsidR="00F37412" w:rsidRPr="00F3741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</w:t>
      </w:r>
      <w:r w:rsidR="005F79CF" w:rsidRPr="00F37412">
        <w:rPr>
          <w:rFonts w:ascii="Times New Roman" w:hAnsi="Times New Roman" w:cs="Times New Roman"/>
          <w:color w:val="000000" w:themeColor="text1"/>
          <w:sz w:val="32"/>
          <w:szCs w:val="32"/>
        </w:rPr>
        <w:t>ә;</w:t>
      </w:r>
    </w:p>
    <w:p w:rsidR="00C957B6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="005F79CF" w:rsidRPr="00C957B6">
        <w:rPr>
          <w:rFonts w:ascii="Times New Roman" w:hAnsi="Times New Roman" w:cs="Times New Roman"/>
          <w:color w:val="000000" w:themeColor="text1"/>
          <w:sz w:val="32"/>
          <w:szCs w:val="32"/>
        </w:rPr>
        <w:t>хисап елында планлаштырылган чараларның кимендә 95%</w:t>
      </w:r>
      <w:r w:rsidR="00F37412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F37412" w:rsidRPr="00C95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тулы күләмдә </w:t>
      </w:r>
      <w:r w:rsidR="005F79CF" w:rsidRPr="00C957B6">
        <w:rPr>
          <w:rFonts w:ascii="Times New Roman" w:hAnsi="Times New Roman" w:cs="Times New Roman"/>
          <w:color w:val="000000" w:themeColor="text1"/>
          <w:sz w:val="32"/>
          <w:szCs w:val="32"/>
        </w:rPr>
        <w:t>үтәлсә</w:t>
      </w:r>
      <w:r w:rsidR="00F37412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  <w:r w:rsidR="005F79CF" w:rsidRPr="00C95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F79CF" w:rsidRPr="00C957B6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957B6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 программаны тормышка ашырылуда канәгатъләнерлек нәтиҗәлелек дәрәҗәсе буларак билгеләнә, әгәр дә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:</w:t>
      </w:r>
    </w:p>
    <w:p w:rsidR="005F79CF" w:rsidRPr="00C957B6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программаның һәм аның ярдәмче программаларының югары нәтиҗәлелек дәрәҗәсе планга туры килгән интервал зурлыгының 80% һәм аннан күбрәк күрсәткечләр билгеләсә;</w:t>
      </w:r>
    </w:p>
    <w:p w:rsidR="005F79CF" w:rsidRPr="00C957B6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-муниципаль программаның төп чараларын (Уф) финанслауны гамәлгә ашыру дәрәҗәсе кимендә 70% тәшкил итсә</w:t>
      </w:r>
      <w:r w:rsidR="005F79CF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; </w:t>
      </w:r>
    </w:p>
    <w:p w:rsidR="00C957B6" w:rsidRPr="00C957B6" w:rsidRDefault="00C957B6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-хисап елында планлаштырылган чараларның кимендә 80% тулы күләмдә үтәлсә</w:t>
      </w:r>
      <w:r w:rsidR="005F79CF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. </w:t>
      </w:r>
    </w:p>
    <w:p w:rsidR="005F79CF" w:rsidRPr="00C957B6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Әгәр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муниципаль программаны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гамәлгә ашыру югар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да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китерелгән 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таләпләргә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җавап бирмәсә, аны гамәлгә ашыру 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нәтиҗәлелек дәрәҗәсе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канәгатъләнмәслек дип бәяләнәчәк. Муниципаль программаларны тормышка ашыру 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барышы 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һәм нәтиҗәлелеген бәяләү турында җыелма еллык 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отчет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C957B6"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Татарстан Республикасы муниципаль берәмлекләр порталында </w:t>
      </w:r>
      <w:r w:rsidRPr="00C957B6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җирлек сайтында урнаштырыла.</w:t>
      </w:r>
    </w:p>
    <w:p w:rsidR="005F79CF" w:rsidRPr="004609AE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6.2. Муниципаль программаларны координацияләү уздыруны һәм мониторинг нәтиҗәләрен гамәлгә ашыруны алдан карауны авыл җирлеге башлыгы башкара</w:t>
      </w:r>
    </w:p>
    <w:p w:rsidR="005F79CF" w:rsidRPr="004609AE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6.3. 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Җирлек б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ашкарма комитет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ның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к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үрсәтелгән бәяләү нәтиҗәләре буенча, 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элек расланган муниципаль программа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ны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туктату яки 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чираттагы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финанс елыннан башлап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программаны 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үзгәртү турында, шул исәптән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lastRenderedPageBreak/>
        <w:t xml:space="preserve">муниципаль программаны </w:t>
      </w:r>
      <w:r w:rsidR="00E32654" w:rsidRP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финанслау өчен бюдҗет ассигнованияләренең күләмен үзгәртү 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кирәкле</w:t>
      </w:r>
      <w:r w:rsidR="00E3265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ге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E32654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турында,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E32654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карар 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кабул ит</w:t>
      </w:r>
      <w:r w:rsidR="00E32654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елергә мөмкин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. </w:t>
      </w:r>
    </w:p>
    <w:p w:rsidR="005F79CF" w:rsidRPr="004609AE" w:rsidRDefault="005F79CF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6.4. </w:t>
      </w:r>
      <w:r w:rsidR="00E32654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Муниципаль программага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аның 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параметрлар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ына тәсир итүче</w:t>
      </w:r>
      <w:r w:rsidR="00E32654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үзгәрешләр 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кертү 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җаваплы башкаручының инициативасы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буенча, яисә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авыл җирлеге башлыгы күрсәтмәләрен үтәү йөзеннән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шул исәптән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муниципаль программа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 гамәлгә ашыру нәтиҗәләре мониторинг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ы күрсәткечләре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буенча, 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әлеге Т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әрти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п</w:t>
      </w:r>
      <w:r w:rsidR="00DA0A92" w:rsidRPr="004609AE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нигезендә </w:t>
      </w:r>
      <w:r w:rsidR="00DA0A92" w:rsidRPr="00DA0A9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башкарыла.</w:t>
      </w:r>
    </w:p>
    <w:p w:rsidR="00B67A59" w:rsidRPr="004609AE" w:rsidRDefault="00B67A59" w:rsidP="00616C2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B0F0"/>
          <w:sz w:val="32"/>
          <w:szCs w:val="32"/>
          <w:lang w:val="tt-RU"/>
        </w:rPr>
        <w:sectPr w:rsidR="00B67A59" w:rsidRPr="004609AE" w:rsidSect="005F79C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02768" w:rsidRPr="00A02768" w:rsidRDefault="00A02768" w:rsidP="00A02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Татарстан Республикасы</w:t>
      </w:r>
    </w:p>
    <w:p w:rsidR="00A02768" w:rsidRPr="00A02768" w:rsidRDefault="00A02768" w:rsidP="00A02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Зәй муниципаль районы Түбән Биш авыл җирлеге</w:t>
      </w:r>
    </w:p>
    <w:p w:rsidR="00A02768" w:rsidRPr="00A02768" w:rsidRDefault="00A02768" w:rsidP="00A02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 программалар</w:t>
      </w: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ының эшләү,</w:t>
      </w:r>
    </w:p>
    <w:p w:rsidR="00A02768" w:rsidRPr="00A02768" w:rsidRDefault="00A02768" w:rsidP="00A02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тормышка ашыру һәм нәтиҗәлелеген бәяләү тәртибенә</w:t>
      </w:r>
    </w:p>
    <w:p w:rsidR="00B67A59" w:rsidRPr="00A02768" w:rsidRDefault="00A02768" w:rsidP="00A02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1 нче номерлы к</w:t>
      </w:r>
      <w:r w:rsidR="00B67A59" w:rsidRPr="00A02768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ушымта</w:t>
      </w: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</w:pP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Форма </w:t>
      </w: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№</w:t>
      </w:r>
      <w:r w:rsidRPr="00A027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A02768" w:rsidRDefault="00B67A59" w:rsidP="00B67A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67A59" w:rsidRPr="00A02768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A02768" w:rsidRDefault="00B67A59" w:rsidP="00B67A59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 программаны эшләү </w:t>
      </w:r>
      <w:r w:rsidRPr="00A02768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һ</w:t>
      </w:r>
      <w:r w:rsidRPr="00A02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әм раслау</w:t>
      </w:r>
      <w:r w:rsidR="00A02768" w:rsidRPr="00A02768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ның</w:t>
      </w:r>
      <w:r w:rsidRPr="00A02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7A59" w:rsidRPr="00A02768" w:rsidRDefault="00B67A59" w:rsidP="00B67A59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2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ЭТАПЛАРЫ ҺӘМ СРОКЛАРЫ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6871"/>
      </w:tblGrid>
      <w:tr w:rsidR="00A02768" w:rsidRPr="00A02768" w:rsidTr="00A02768">
        <w:trPr>
          <w:trHeight w:val="29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Муниципаль программаны эшләү һәм раслау вакытлары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A027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униципаль программаны эшләү </w:t>
            </w: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һ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әм раслау этаплары</w:t>
            </w:r>
          </w:p>
        </w:tc>
      </w:tr>
      <w:tr w:rsidR="00A02768" w:rsidRPr="00A02768" w:rsidTr="00A02768">
        <w:trPr>
          <w:trHeight w:val="214"/>
          <w:jc w:val="center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B67A59" w:rsidP="00A0276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Татарстан Республикасы Зәй муниципаль районы Түбән Биш авыл җирлегенеӊ </w:t>
            </w:r>
            <w:r w:rsidR="00A02768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чираттагы</w:t>
            </w: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финанс елына бюджет кабул итү елы</w:t>
            </w:r>
            <w:r w:rsidR="00A02768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ннан алдан килгән ел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проектын әзерләү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A027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проектын килешенү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A027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концепция проектын экспертиз</w:t>
            </w: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а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лау, шул исәптән, бәйсез экспертлар белән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Муниципаль программаны раслау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B67A59" w:rsidP="00A0276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Татарстан Республикасы Зәй муниципаль районы Түбән Биш авыл җирлегенеӊ чираттагы финанс елына бюджет кабул итү елы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A027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проектын әзерләү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A027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проектын килешенү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A02768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 проектын экспертизалау, шул исәптән, бәйсез экспертлар белән</w:t>
            </w:r>
          </w:p>
        </w:tc>
      </w:tr>
      <w:tr w:rsidR="00A02768" w:rsidRPr="00A02768" w:rsidTr="00A02768">
        <w:trPr>
          <w:jc w:val="center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A02768" w:rsidRDefault="00B67A59" w:rsidP="00C957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A02768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0276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Муниципаль программаны раслау</w:t>
            </w:r>
          </w:p>
        </w:tc>
      </w:tr>
    </w:tbl>
    <w:p w:rsidR="00B67A59" w:rsidRDefault="00B67A59" w:rsidP="00B67A59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Татарстан Республикасы</w:t>
      </w: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Зәй муниципаль районы Түбән Биш авыл җирлеге</w:t>
      </w: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 программаларының эшләү,</w:t>
      </w: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тормышка ашыру һәм нәтиҗәлелеген бәяләү тәртибенә</w:t>
      </w:r>
    </w:p>
    <w:p w:rsidR="00B67A59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2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нче номерлы кушымта</w:t>
      </w: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02768" w:rsidRPr="009A5086" w:rsidRDefault="00A02768" w:rsidP="00A02768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9A5086" w:rsidRDefault="00B67A59" w:rsidP="00B67A59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Форма </w:t>
      </w:r>
      <w:r w:rsidR="00A02768" w:rsidRPr="009A5086">
        <w:rPr>
          <w:rFonts w:ascii="Times New Roman" w:eastAsia="Times New Roman" w:hAnsi="Times New Roman"/>
          <w:color w:val="000000" w:themeColor="text1"/>
          <w:sz w:val="24"/>
          <w:szCs w:val="24"/>
          <w:lang w:val="tt-RU" w:eastAsia="ru-RU"/>
        </w:rPr>
        <w:t>№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</w:t>
      </w:r>
    </w:p>
    <w:p w:rsidR="00B67A59" w:rsidRPr="009A5086" w:rsidRDefault="00B67A59" w:rsidP="00B67A59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9A5086" w:rsidRDefault="00B67A59" w:rsidP="00B67A59">
      <w:pPr>
        <w:tabs>
          <w:tab w:val="left" w:pos="507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9A5086" w:rsidRDefault="00B67A59" w:rsidP="00A02768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 ПРОГРАММА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ПАСПОРТЫ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7"/>
        <w:gridCol w:w="3231"/>
      </w:tblGrid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Күрсәткечләр исемлеге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C95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Күрсәткечләр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нең билгеләмәсе</w:t>
            </w: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A02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исеме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A02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заказчы (муниципаль заказчы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 xml:space="preserve"> 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- координатор)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A02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униципаль программаныӊ төп эшләүчеләре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униципаль программаныӊ максатлары һәм бурычлары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A02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униципаль программаны тормышка ашыру вакыты 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һ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әм этаплары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A02768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Я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рдәмчел программалар исемлеге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9A5086" w:rsidP="009A50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униципаль программаны финанслауныӊ 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лларга бүле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нгән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күләмнәре 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һ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әм чыганаклары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A5086" w:rsidRPr="009A5086" w:rsidTr="00A02768">
        <w:trPr>
          <w:jc w:val="center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Муниципаль программаныӊ көтелгән ахыр нәтиҗәләрен тормышка ашыру максатлары (аның нәтиҗәләрен бәяләү индикаторлары) елларга бүле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нгән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бюджет нәтиҗәлелеген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ең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күрсәткечләре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67A59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8"/>
          <w:lang w:eastAsia="ru-RU"/>
        </w:rPr>
      </w:pPr>
    </w:p>
    <w:p w:rsidR="009A5086" w:rsidRDefault="009A5086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8"/>
          <w:lang w:eastAsia="ru-RU"/>
        </w:rPr>
      </w:pP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lastRenderedPageBreak/>
        <w:t>Татарстан Республикасы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Зәй муниципаль районы Түбән Биш авыл җирлеге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муниципаль программаларының эшләү,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тормышка ашыру һәм нәтиҗәлелеген бәяләү тәртибенә</w:t>
      </w:r>
    </w:p>
    <w:p w:rsidR="00B67A59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val="tt-RU" w:eastAsia="ru-RU"/>
        </w:rPr>
        <w:t>3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нче номерлы кушымта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Форма </w:t>
      </w:r>
      <w:r w:rsidR="009A5086" w:rsidRPr="009A5086">
        <w:rPr>
          <w:rFonts w:ascii="Times New Roman" w:eastAsia="Times New Roman" w:hAnsi="Times New Roman"/>
          <w:color w:val="000000" w:themeColor="text1"/>
          <w:sz w:val="24"/>
          <w:szCs w:val="28"/>
          <w:lang w:val="tt-RU" w:eastAsia="ru-RU"/>
        </w:rPr>
        <w:t>№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3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A5086" w:rsidRPr="009A5086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М</w:t>
      </w: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 программ</w:t>
      </w: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а</w:t>
      </w: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нәтиҗәләр</w:t>
      </w: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енең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МАКСАТЛАРЫ, БУРЫЧЛАРЫ, БӘЯЛӘҮ ИНДИКАТОРЛАРЫ</w:t>
      </w:r>
    </w:p>
    <w:p w:rsidR="00B67A59" w:rsidRPr="009A5086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Һ</w:t>
      </w:r>
      <w:r w:rsidR="00B67A59"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әм</w:t>
      </w:r>
      <w:r w:rsidRPr="009A5086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B67A59" w:rsidRPr="009A50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чаралары буенча финанслау</w:t>
      </w:r>
    </w:p>
    <w:p w:rsidR="009A5086" w:rsidRPr="009A5086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131"/>
        <w:gridCol w:w="1260"/>
        <w:gridCol w:w="1290"/>
        <w:gridCol w:w="992"/>
        <w:gridCol w:w="1701"/>
        <w:gridCol w:w="1984"/>
        <w:gridCol w:w="993"/>
        <w:gridCol w:w="708"/>
        <w:gridCol w:w="709"/>
        <w:gridCol w:w="977"/>
        <w:gridCol w:w="695"/>
        <w:gridCol w:w="680"/>
        <w:gridCol w:w="908"/>
      </w:tblGrid>
      <w:tr w:rsidR="009A5086" w:rsidRPr="009A5086" w:rsidTr="009A508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Максатлар исем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лег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Бурычлар исем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лег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Ярдәмчел программаларныӊ исем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лег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Төп чаралар исем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лег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Башкаручылар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Төп чараларны башкару буенча сроклар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Ахыр нәтиҗәләрне б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ә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яләү индикаторлары, үлчәү берәмлеге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Индикаторлар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ның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күрсәткечләре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Финанслау чыганагын күрсәте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лгән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финанслау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 xml:space="preserve"> күләме</w:t>
            </w:r>
          </w:p>
        </w:tc>
      </w:tr>
      <w:tr w:rsidR="009A5086" w:rsidRPr="009A5086" w:rsidTr="009A5086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9A5086" w:rsidRDefault="00B67A59" w:rsidP="009A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база елы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tt-RU"/>
              </w:rPr>
              <w:t>нче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tt-RU"/>
              </w:rPr>
              <w:t>нче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9A5086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tt-RU"/>
              </w:rPr>
              <w:t>-нчы</w:t>
            </w:r>
            <w:r w:rsidR="00B67A59"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tt-RU"/>
              </w:rPr>
              <w:t>нче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A5086"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tt-RU"/>
              </w:rPr>
              <w:t>нче</w:t>
            </w: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9A5086" w:rsidP="009A50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n-нчы ел</w:t>
            </w:r>
          </w:p>
        </w:tc>
      </w:tr>
      <w:tr w:rsidR="009A5086" w:rsidRPr="009A5086" w:rsidTr="009A508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A5086" w:rsidRPr="009A5086" w:rsidTr="009A508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5086" w:rsidRPr="009A5086" w:rsidTr="009A508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lastRenderedPageBreak/>
        <w:t>Татарстан Республикасы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Зәй муниципаль районы Түбән Биш авыл җирлеге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муниципаль программаларының эшләү,</w:t>
      </w:r>
    </w:p>
    <w:p w:rsidR="009A5086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тормышка ашыру һәм нәтиҗәлелеген бәяләү тәртибенә</w:t>
      </w:r>
    </w:p>
    <w:p w:rsidR="00B67A59" w:rsidRPr="009A5086" w:rsidRDefault="009A5086" w:rsidP="009A5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val="tt-RU" w:eastAsia="ru-RU"/>
        </w:rPr>
        <w:t>4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нче номерлы кушымта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Форма </w:t>
      </w:r>
      <w:r w:rsidR="009A5086" w:rsidRPr="009A5086">
        <w:rPr>
          <w:rFonts w:ascii="Times New Roman" w:eastAsia="Times New Roman" w:hAnsi="Times New Roman"/>
          <w:color w:val="000000" w:themeColor="text1"/>
          <w:sz w:val="24"/>
          <w:szCs w:val="28"/>
          <w:lang w:val="tt-RU" w:eastAsia="ru-RU"/>
        </w:rPr>
        <w:t>№</w:t>
      </w:r>
      <w:r w:rsidRPr="009A508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4</w:t>
      </w: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7A59" w:rsidRPr="009A5086" w:rsidRDefault="00B67A59" w:rsidP="00B67A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22"/>
        <w:gridCol w:w="3240"/>
      </w:tblGrid>
      <w:tr w:rsidR="009A5086" w:rsidRPr="009A5086" w:rsidTr="009A508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Күрсәткечләр исемлеге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9A5086" w:rsidP="00C9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Күрсәткечләрнең билгеләмәсе</w:t>
            </w:r>
          </w:p>
        </w:tc>
      </w:tr>
      <w:tr w:rsidR="009A5086" w:rsidRPr="009A5086" w:rsidTr="009A508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Муниципаль программаныӊ реквизитлары, гамәлгә ашыру чоры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5086" w:rsidRPr="009A5086" w:rsidTr="009A508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Исәп тотучы оешманыӊ исеме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5086" w:rsidRPr="009A5086" w:rsidTr="009A508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Муниципаль программаны раслау турындагы норматив хокукый актныӊ исеме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5086" w:rsidRPr="009A5086" w:rsidTr="009A508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9A5086" w:rsidRDefault="00B67A59" w:rsidP="009A50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50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Формаларны төзү өчен вазыйфаи җаваплы зат (Ф.И.О., вазыйфасы, элемтә өчен телефон)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9A5086" w:rsidRDefault="00B67A59" w:rsidP="00C957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9A5086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9A5086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B67A59" w:rsidRPr="00B67A59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9A5086" w:rsidRPr="00B310EA" w:rsidRDefault="009A5086" w:rsidP="009A5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1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___________ 20__ ел өчен</w:t>
      </w:r>
    </w:p>
    <w:p w:rsidR="00B67A59" w:rsidRPr="00B310EA" w:rsidRDefault="00B67A59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1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 ПРОГРАММАНЫ ГАМӘЛГӘ АШЫРУ ТУРЫНДА</w:t>
      </w:r>
    </w:p>
    <w:p w:rsidR="00B67A59" w:rsidRPr="00B310EA" w:rsidRDefault="009A5086" w:rsidP="00B6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310E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ОТЧЕТ</w:t>
      </w:r>
    </w:p>
    <w:p w:rsidR="00B67A59" w:rsidRPr="00B310EA" w:rsidRDefault="00B67A59" w:rsidP="00B67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08"/>
        <w:gridCol w:w="2268"/>
        <w:gridCol w:w="1560"/>
        <w:gridCol w:w="1201"/>
        <w:gridCol w:w="992"/>
        <w:gridCol w:w="1776"/>
        <w:gridCol w:w="1134"/>
        <w:gridCol w:w="708"/>
        <w:gridCol w:w="709"/>
        <w:gridCol w:w="709"/>
        <w:gridCol w:w="709"/>
        <w:gridCol w:w="1134"/>
        <w:gridCol w:w="992"/>
      </w:tblGrid>
      <w:tr w:rsidR="00B310EA" w:rsidRPr="00B310EA" w:rsidTr="00B310EA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№№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9A5086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Я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рдәмчел программаныӊ исеме (чаралар, бүлекләр)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Финанслау чыганагы (барлыгы, шул исәптән</w:t>
            </w:r>
            <w:r w:rsidR="009A5086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,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Россия Федерациясе бюджеты, Татарстан Республикасы бюджеты, җирле бюджет, бюджеттан тыш чыганаклар)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Программаны раслау турындагы хокукый акт буенча</w:t>
            </w:r>
            <w:r w:rsidR="00B310EA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,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узган хисап елына план буенча финанслау күләме, меӊ сум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П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рограмма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га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отчет чорында 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бирелгән 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(лимит), мең сум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Финанслау проценты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Е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л башыннан бирле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 xml:space="preserve"> фактта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кулланылган чыгымнар (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башкаручының счет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ыннан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күчерелгән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)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, мең сум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Берәмлек үлчәү и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ндикатор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ының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исеме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И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ндикаторныӊ әҺәмияте</w:t>
            </w:r>
          </w:p>
        </w:tc>
      </w:tr>
      <w:tr w:rsidR="00B310EA" w:rsidRPr="00B310EA" w:rsidTr="00B310EA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лдагы 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а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гымдагы 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Үтәлеш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 xml:space="preserve"> </w:t>
            </w:r>
            <w:r w:rsidR="00B67A59"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процент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3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киләсе елга план</w:t>
            </w:r>
          </w:p>
        </w:tc>
      </w:tr>
      <w:tr w:rsidR="00B310EA" w:rsidRPr="00B310EA" w:rsidTr="00B310EA">
        <w:trPr>
          <w:trHeight w:val="15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B310EA" w:rsidRPr="00B310EA" w:rsidTr="00B310EA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B310EA" w:rsidRPr="00B310EA" w:rsidTr="00B310EA">
        <w:trPr>
          <w:trHeight w:val="1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0EA" w:rsidRPr="00B310EA" w:rsidTr="00B310EA">
        <w:trPr>
          <w:trHeight w:val="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Барлыгы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tt-RU"/>
              </w:rPr>
              <w:t xml:space="preserve"> </w:t>
            </w: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программа буенча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барлыгы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0EA" w:rsidRPr="00B310EA" w:rsidTr="00B310EA">
        <w:trPr>
          <w:trHeight w:val="270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Россия Федерациясе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0EA" w:rsidRPr="00B310EA" w:rsidTr="00B310EA">
        <w:trPr>
          <w:trHeight w:val="20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Татарстан Республикасы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0EA" w:rsidRPr="00B310EA" w:rsidTr="00B310EA">
        <w:trPr>
          <w:trHeight w:val="20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җирле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0EA" w:rsidRPr="00B310EA" w:rsidTr="00B310EA">
        <w:trPr>
          <w:trHeight w:val="20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9" w:rsidRPr="00B310EA" w:rsidRDefault="00B67A59" w:rsidP="00B67A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B310E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бюджеттан тыш чыганаклар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9" w:rsidRPr="00B310EA" w:rsidRDefault="00B67A59" w:rsidP="00B6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79CF" w:rsidRPr="00B67A59" w:rsidRDefault="005F79CF" w:rsidP="00B67A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5F79CF" w:rsidRPr="00B67A59" w:rsidSect="00B67A59">
      <w:pgSz w:w="16838" w:h="11906" w:orient="landscape"/>
      <w:pgMar w:top="850" w:right="113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121"/>
    <w:multiLevelType w:val="hybridMultilevel"/>
    <w:tmpl w:val="9E84DDBE"/>
    <w:lvl w:ilvl="0" w:tplc="3C2241C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DB"/>
    <w:rsid w:val="00025482"/>
    <w:rsid w:val="00067794"/>
    <w:rsid w:val="000E4DB5"/>
    <w:rsid w:val="00107B8E"/>
    <w:rsid w:val="00183164"/>
    <w:rsid w:val="00265437"/>
    <w:rsid w:val="002E24C9"/>
    <w:rsid w:val="003C2BD9"/>
    <w:rsid w:val="004609AE"/>
    <w:rsid w:val="004D5871"/>
    <w:rsid w:val="004E49F6"/>
    <w:rsid w:val="005940A2"/>
    <w:rsid w:val="005C6B44"/>
    <w:rsid w:val="005F79CF"/>
    <w:rsid w:val="00616C2B"/>
    <w:rsid w:val="006859BD"/>
    <w:rsid w:val="0069178F"/>
    <w:rsid w:val="006C52D2"/>
    <w:rsid w:val="006E2D87"/>
    <w:rsid w:val="006F5533"/>
    <w:rsid w:val="00942339"/>
    <w:rsid w:val="009615DB"/>
    <w:rsid w:val="009A5086"/>
    <w:rsid w:val="009D552A"/>
    <w:rsid w:val="00A01EE8"/>
    <w:rsid w:val="00A02768"/>
    <w:rsid w:val="00A64076"/>
    <w:rsid w:val="00AF4AE8"/>
    <w:rsid w:val="00B310EA"/>
    <w:rsid w:val="00B64966"/>
    <w:rsid w:val="00B66707"/>
    <w:rsid w:val="00B67A59"/>
    <w:rsid w:val="00B84CDF"/>
    <w:rsid w:val="00C957B6"/>
    <w:rsid w:val="00DA0A92"/>
    <w:rsid w:val="00E32654"/>
    <w:rsid w:val="00EC2980"/>
    <w:rsid w:val="00F37412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A552-B066-4DCC-A75A-B236FF0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CF"/>
    <w:pPr>
      <w:spacing w:after="0" w:line="240" w:lineRule="auto"/>
    </w:pPr>
  </w:style>
  <w:style w:type="paragraph" w:customStyle="1" w:styleId="ConsPlusNormal">
    <w:name w:val="ConsPlusNormal"/>
    <w:rsid w:val="00B6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46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Ильнар Нафисович</dc:creator>
  <cp:keywords/>
  <dc:description/>
  <cp:lastModifiedBy>Довольный пользователь Microsoft Office</cp:lastModifiedBy>
  <cp:revision>8</cp:revision>
  <dcterms:created xsi:type="dcterms:W3CDTF">2018-07-19T05:16:00Z</dcterms:created>
  <dcterms:modified xsi:type="dcterms:W3CDTF">2018-07-19T05:44:00Z</dcterms:modified>
</cp:coreProperties>
</file>